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7849" w14:textId="6D39F665" w:rsidR="008B0769" w:rsidRPr="00BA12D4" w:rsidRDefault="008B0769" w:rsidP="008B0769">
      <w:pPr>
        <w:spacing w:after="0" w:line="240" w:lineRule="auto"/>
        <w:jc w:val="both"/>
        <w:rPr>
          <w:rFonts w:ascii="Verdana" w:hAnsi="Verdana"/>
          <w:b/>
          <w:bCs/>
          <w:sz w:val="18"/>
          <w:szCs w:val="18"/>
        </w:rPr>
      </w:pPr>
      <w:r w:rsidRPr="00BA12D4">
        <w:rPr>
          <w:rFonts w:ascii="Verdana" w:hAnsi="Verdana"/>
          <w:b/>
          <w:bCs/>
          <w:sz w:val="18"/>
          <w:szCs w:val="18"/>
        </w:rPr>
        <w:t>Diagnóstico Estratégico.</w:t>
      </w:r>
    </w:p>
    <w:p w14:paraId="226D838B" w14:textId="77777777" w:rsidR="00BA12D4" w:rsidRDefault="00BA12D4" w:rsidP="008B0769">
      <w:pPr>
        <w:spacing w:after="0" w:line="240" w:lineRule="auto"/>
        <w:jc w:val="both"/>
        <w:rPr>
          <w:rFonts w:ascii="Verdana" w:hAnsi="Verdana"/>
          <w:sz w:val="18"/>
          <w:szCs w:val="18"/>
        </w:rPr>
      </w:pPr>
    </w:p>
    <w:p w14:paraId="120586A3" w14:textId="77777777" w:rsidR="00BA12D4" w:rsidRPr="00AB5A1A" w:rsidRDefault="00BA12D4" w:rsidP="008B0769">
      <w:pPr>
        <w:spacing w:after="0" w:line="240" w:lineRule="auto"/>
        <w:jc w:val="both"/>
        <w:rPr>
          <w:rFonts w:ascii="Verdana" w:hAnsi="Verdana"/>
          <w:sz w:val="18"/>
          <w:szCs w:val="18"/>
        </w:rPr>
      </w:pPr>
    </w:p>
    <w:p w14:paraId="0E2192FE" w14:textId="77777777" w:rsidR="008B0769" w:rsidRPr="00BA12D4" w:rsidRDefault="008B0769" w:rsidP="00BA12D4">
      <w:pPr>
        <w:tabs>
          <w:tab w:val="left" w:leader="underscore" w:pos="3969"/>
          <w:tab w:val="left" w:leader="underscore" w:pos="8222"/>
        </w:tabs>
        <w:spacing w:line="240" w:lineRule="auto"/>
        <w:jc w:val="both"/>
        <w:rPr>
          <w:rFonts w:cs="Calibri"/>
          <w:bCs/>
        </w:rPr>
      </w:pPr>
      <w:r w:rsidRPr="00AB5A1A">
        <w:rPr>
          <w:rFonts w:ascii="Verdana" w:hAnsi="Verdana"/>
          <w:sz w:val="18"/>
          <w:szCs w:val="18"/>
        </w:rPr>
        <w:t xml:space="preserve">El </w:t>
      </w:r>
      <w:r w:rsidRPr="00BA12D4">
        <w:rPr>
          <w:rFonts w:cs="Calibri"/>
        </w:rPr>
        <w:t xml:space="preserve">análisis contempla lo recogido en el Plan </w:t>
      </w:r>
      <w:proofErr w:type="gramStart"/>
      <w:r w:rsidRPr="00BA12D4">
        <w:rPr>
          <w:rFonts w:cs="Calibri"/>
        </w:rPr>
        <w:t>de  Desarrollo</w:t>
      </w:r>
      <w:proofErr w:type="gramEnd"/>
      <w:r w:rsidRPr="00BA12D4">
        <w:rPr>
          <w:rFonts w:cs="Calibri"/>
        </w:rPr>
        <w:t xml:space="preserve"> Institucional (UCSC), el Plan de Desarrollo del Instituto Tecnológico y </w:t>
      </w:r>
      <w:proofErr w:type="gramStart"/>
      <w:r w:rsidRPr="00BA12D4">
        <w:rPr>
          <w:rFonts w:cs="Calibri"/>
        </w:rPr>
        <w:t xml:space="preserve">la  </w:t>
      </w:r>
      <w:r w:rsidRPr="00BA12D4">
        <w:rPr>
          <w:rFonts w:cs="Calibri"/>
          <w:bCs/>
        </w:rPr>
        <w:t>Resolución</w:t>
      </w:r>
      <w:proofErr w:type="gramEnd"/>
      <w:r w:rsidRPr="00BA12D4">
        <w:rPr>
          <w:rFonts w:cs="Calibri"/>
          <w:bCs/>
        </w:rPr>
        <w:t xml:space="preserve"> de Acreditación Institucional </w:t>
      </w:r>
      <w:proofErr w:type="spellStart"/>
      <w:r w:rsidRPr="00BA12D4">
        <w:rPr>
          <w:rFonts w:cs="Calibri"/>
          <w:bCs/>
        </w:rPr>
        <w:t>Nº</w:t>
      </w:r>
      <w:proofErr w:type="spellEnd"/>
      <w:r w:rsidRPr="00BA12D4">
        <w:rPr>
          <w:rFonts w:cs="Calibri"/>
          <w:bCs/>
        </w:rPr>
        <w:t xml:space="preserve"> 187 del 14 de </w:t>
      </w:r>
      <w:proofErr w:type="gramStart"/>
      <w:r w:rsidRPr="00BA12D4">
        <w:rPr>
          <w:rFonts w:cs="Calibri"/>
          <w:bCs/>
        </w:rPr>
        <w:t>Enero</w:t>
      </w:r>
      <w:proofErr w:type="gramEnd"/>
      <w:r w:rsidRPr="00BA12D4">
        <w:rPr>
          <w:rFonts w:cs="Calibri"/>
          <w:bCs/>
        </w:rPr>
        <w:t xml:space="preserve"> de 2013, de la CNA.</w:t>
      </w:r>
    </w:p>
    <w:p w14:paraId="3910C129" w14:textId="77777777" w:rsidR="008B0769" w:rsidRPr="00BA12D4" w:rsidRDefault="008B0769" w:rsidP="00BA12D4">
      <w:pPr>
        <w:tabs>
          <w:tab w:val="left" w:leader="underscore" w:pos="3969"/>
          <w:tab w:val="left" w:leader="underscore" w:pos="8222"/>
        </w:tabs>
        <w:spacing w:line="240" w:lineRule="auto"/>
        <w:jc w:val="both"/>
        <w:rPr>
          <w:rFonts w:cs="Calibri"/>
          <w:bCs/>
        </w:rPr>
      </w:pPr>
      <w:r w:rsidRPr="00BA12D4">
        <w:rPr>
          <w:rFonts w:cs="Calibri"/>
          <w:bCs/>
        </w:rPr>
        <w:t>Entre las debilidades detectadas y que tienen relación directa con los objetivos de este Plan de Mejoramiento Institucional se encuentran:</w:t>
      </w:r>
    </w:p>
    <w:p w14:paraId="52CF2626" w14:textId="77777777" w:rsidR="008B0769" w:rsidRPr="00BA12D4" w:rsidRDefault="008B0769" w:rsidP="00BA12D4">
      <w:pPr>
        <w:pStyle w:val="Prrafodelista2"/>
        <w:spacing w:after="200"/>
        <w:ind w:left="0"/>
        <w:jc w:val="both"/>
        <w:rPr>
          <w:rFonts w:ascii="Calibri" w:hAnsi="Calibri" w:cs="Calibri"/>
          <w:b/>
          <w:sz w:val="22"/>
          <w:szCs w:val="22"/>
        </w:rPr>
      </w:pPr>
      <w:r w:rsidRPr="00BA12D4">
        <w:rPr>
          <w:rFonts w:ascii="Calibri" w:hAnsi="Calibri" w:cs="Calibri"/>
          <w:b/>
          <w:sz w:val="22"/>
          <w:szCs w:val="22"/>
        </w:rPr>
        <w:t>Del PDI y PDE del Instituto:</w:t>
      </w:r>
    </w:p>
    <w:p w14:paraId="6FF75AFD" w14:textId="77777777" w:rsidR="008B0769" w:rsidRPr="00BA12D4" w:rsidRDefault="008B0769" w:rsidP="00BA12D4">
      <w:pPr>
        <w:pStyle w:val="Prrafodelista2"/>
        <w:numPr>
          <w:ilvl w:val="0"/>
          <w:numId w:val="1"/>
        </w:numPr>
        <w:spacing w:after="200" w:line="192" w:lineRule="auto"/>
        <w:jc w:val="both"/>
        <w:rPr>
          <w:rFonts w:ascii="Calibri" w:hAnsi="Calibri" w:cs="Calibri"/>
          <w:sz w:val="22"/>
          <w:szCs w:val="22"/>
        </w:rPr>
      </w:pPr>
      <w:r w:rsidRPr="00BA12D4">
        <w:rPr>
          <w:rFonts w:ascii="Calibri" w:hAnsi="Calibri" w:cs="Calibri"/>
          <w:sz w:val="22"/>
          <w:szCs w:val="22"/>
        </w:rPr>
        <w:t>Necesidad de acelerar en los diseños e implementación de los procesos de renovación curricular y mecanismos de evaluación del logro de los perfiles de egreso. De los 19 programas impartidos, solo 8 se encuentran  renovadas según el diseño curricular basado en resultados de aprendizaje y competencias.</w:t>
      </w:r>
    </w:p>
    <w:p w14:paraId="7F6A9E48" w14:textId="77777777" w:rsidR="008B0769" w:rsidRPr="00BA12D4" w:rsidRDefault="008B0769" w:rsidP="00BA12D4">
      <w:pPr>
        <w:pStyle w:val="Prrafodelista2"/>
        <w:spacing w:after="200" w:line="192" w:lineRule="auto"/>
        <w:ind w:left="0"/>
        <w:jc w:val="both"/>
        <w:rPr>
          <w:rFonts w:ascii="Calibri" w:hAnsi="Calibri" w:cs="Calibri"/>
          <w:sz w:val="22"/>
          <w:szCs w:val="22"/>
        </w:rPr>
      </w:pPr>
    </w:p>
    <w:p w14:paraId="38473275" w14:textId="77777777" w:rsidR="008B0769" w:rsidRPr="00BA12D4" w:rsidRDefault="008B0769" w:rsidP="00BA12D4">
      <w:pPr>
        <w:pStyle w:val="Prrafodelista2"/>
        <w:numPr>
          <w:ilvl w:val="0"/>
          <w:numId w:val="1"/>
        </w:numPr>
        <w:spacing w:after="200" w:line="192" w:lineRule="auto"/>
        <w:jc w:val="both"/>
        <w:rPr>
          <w:rFonts w:ascii="Calibri" w:hAnsi="Calibri" w:cs="Calibri"/>
          <w:sz w:val="22"/>
          <w:szCs w:val="22"/>
        </w:rPr>
      </w:pPr>
      <w:r w:rsidRPr="00BA12D4">
        <w:rPr>
          <w:rFonts w:ascii="Calibri" w:hAnsi="Calibri" w:cs="Calibri"/>
          <w:sz w:val="22"/>
          <w:szCs w:val="22"/>
        </w:rPr>
        <w:t xml:space="preserve">Necesidad de potenciar y fortalecer las relaciones con el sector productivo, industrial y social, para otorgar  a los programas de estudio la actualización pertinente y formar en los estudiantes las competencias requeridas por el ámbito laboral. </w:t>
      </w:r>
    </w:p>
    <w:p w14:paraId="1E67878D" w14:textId="77777777" w:rsidR="008B0769" w:rsidRPr="00BA12D4" w:rsidRDefault="008B0769" w:rsidP="00BA12D4">
      <w:pPr>
        <w:pStyle w:val="Prrafodelista2"/>
        <w:spacing w:after="200" w:line="192" w:lineRule="auto"/>
        <w:ind w:left="0"/>
        <w:jc w:val="both"/>
        <w:rPr>
          <w:rFonts w:ascii="Calibri" w:hAnsi="Calibri" w:cs="Calibri"/>
          <w:sz w:val="22"/>
          <w:szCs w:val="22"/>
        </w:rPr>
      </w:pPr>
    </w:p>
    <w:p w14:paraId="04C7E5EC" w14:textId="77777777" w:rsidR="008B0769" w:rsidRPr="00BA12D4" w:rsidRDefault="008B0769" w:rsidP="00BA12D4">
      <w:pPr>
        <w:pStyle w:val="Prrafodelista2"/>
        <w:numPr>
          <w:ilvl w:val="0"/>
          <w:numId w:val="1"/>
        </w:numPr>
        <w:spacing w:after="200" w:line="192" w:lineRule="auto"/>
        <w:jc w:val="both"/>
        <w:rPr>
          <w:rFonts w:ascii="Calibri" w:hAnsi="Calibri" w:cs="Calibri"/>
          <w:sz w:val="22"/>
          <w:szCs w:val="22"/>
        </w:rPr>
      </w:pPr>
      <w:r w:rsidRPr="00BA12D4">
        <w:rPr>
          <w:rFonts w:ascii="Calibri" w:hAnsi="Calibri" w:cs="Calibri"/>
          <w:sz w:val="22"/>
          <w:szCs w:val="22"/>
        </w:rPr>
        <w:t>Generar y establecer mecanismos formales que nos entreguen información pertinente del comportamiento de los mercados laborales y su impacto en el proceso de formación y colocación laboral de nuestros estudiantes.</w:t>
      </w:r>
    </w:p>
    <w:p w14:paraId="03CC3CF8" w14:textId="77777777" w:rsidR="008B0769" w:rsidRPr="00BA12D4" w:rsidRDefault="008B0769" w:rsidP="00BA12D4">
      <w:pPr>
        <w:pStyle w:val="Prrafodelista2"/>
        <w:spacing w:after="200" w:line="192" w:lineRule="auto"/>
        <w:ind w:left="0"/>
        <w:jc w:val="both"/>
        <w:rPr>
          <w:rFonts w:ascii="Calibri" w:eastAsia="Arial Unicode MS" w:hAnsi="Calibri" w:cs="Calibri"/>
          <w:sz w:val="22"/>
          <w:szCs w:val="22"/>
        </w:rPr>
      </w:pPr>
    </w:p>
    <w:p w14:paraId="4D4BAC57" w14:textId="77777777" w:rsidR="008B0769" w:rsidRPr="00BA12D4" w:rsidRDefault="008B0769" w:rsidP="00BA12D4">
      <w:pPr>
        <w:pStyle w:val="Prrafodelista2"/>
        <w:numPr>
          <w:ilvl w:val="0"/>
          <w:numId w:val="1"/>
        </w:numPr>
        <w:spacing w:after="200" w:line="192" w:lineRule="auto"/>
        <w:jc w:val="both"/>
        <w:rPr>
          <w:rFonts w:ascii="Calibri" w:eastAsia="Arial Unicode MS" w:hAnsi="Calibri" w:cs="Calibri"/>
          <w:sz w:val="22"/>
          <w:szCs w:val="22"/>
        </w:rPr>
      </w:pPr>
      <w:r w:rsidRPr="00BA12D4">
        <w:rPr>
          <w:rFonts w:ascii="Calibri" w:eastAsia="Arial Unicode MS" w:hAnsi="Calibri" w:cs="Calibri"/>
          <w:sz w:val="22"/>
          <w:szCs w:val="22"/>
        </w:rPr>
        <w:t>Fortalecer los procesos de enseñanza y aprendizaje y sus correspondientes resultados, mejorar los sistemas de prácticas profesionales y proporcionar la implementación pertinente  en tecnologías de acceso a la información, equipamiento tecnológico, habilitación de laboratorios y recursos humanos docentes para la dictación de las carreras, en concordancia con el diseño curricular basado en resultados de aprendizaje y competencias.</w:t>
      </w:r>
    </w:p>
    <w:p w14:paraId="6B1F72EC" w14:textId="77777777" w:rsidR="008B0769" w:rsidRPr="00BA12D4" w:rsidRDefault="008B0769" w:rsidP="00BA12D4">
      <w:pPr>
        <w:pStyle w:val="Prrafodelista2"/>
        <w:spacing w:after="200" w:line="192" w:lineRule="auto"/>
        <w:ind w:left="0"/>
        <w:jc w:val="both"/>
        <w:rPr>
          <w:rFonts w:ascii="Calibri" w:eastAsia="Arial Unicode MS" w:hAnsi="Calibri" w:cs="Calibri"/>
          <w:sz w:val="22"/>
          <w:szCs w:val="22"/>
        </w:rPr>
      </w:pPr>
    </w:p>
    <w:p w14:paraId="3088C876" w14:textId="77777777" w:rsidR="008B0769" w:rsidRPr="00BA12D4" w:rsidRDefault="008B0769" w:rsidP="00BA12D4">
      <w:pPr>
        <w:pStyle w:val="Prrafodelista2"/>
        <w:numPr>
          <w:ilvl w:val="0"/>
          <w:numId w:val="1"/>
        </w:numPr>
        <w:spacing w:after="200" w:line="192" w:lineRule="auto"/>
        <w:jc w:val="both"/>
        <w:rPr>
          <w:rFonts w:ascii="Calibri" w:hAnsi="Calibri" w:cs="Calibri"/>
          <w:sz w:val="22"/>
          <w:szCs w:val="22"/>
        </w:rPr>
      </w:pPr>
      <w:r w:rsidRPr="00BA12D4">
        <w:rPr>
          <w:rFonts w:ascii="Calibri" w:eastAsia="Arial Unicode MS" w:hAnsi="Calibri" w:cs="Calibri"/>
          <w:sz w:val="22"/>
          <w:szCs w:val="22"/>
        </w:rPr>
        <w:t>Necesidad de contar con mecanismo de aseguramiento de calidad en los procesos de formación para el logro de la acreditación de todos los programas de formación.</w:t>
      </w:r>
    </w:p>
    <w:p w14:paraId="0A7F32F5" w14:textId="77777777" w:rsidR="008B0769" w:rsidRPr="00BA12D4" w:rsidRDefault="008B0769" w:rsidP="00BA12D4">
      <w:pPr>
        <w:pStyle w:val="Prrafodelista2"/>
        <w:spacing w:after="200" w:line="192" w:lineRule="auto"/>
        <w:ind w:left="0"/>
        <w:jc w:val="both"/>
        <w:rPr>
          <w:rFonts w:ascii="Calibri" w:eastAsia="Arial Unicode MS" w:hAnsi="Calibri" w:cs="Calibri"/>
          <w:b/>
          <w:sz w:val="22"/>
          <w:szCs w:val="22"/>
        </w:rPr>
      </w:pPr>
    </w:p>
    <w:p w14:paraId="4CD29D8C" w14:textId="77777777" w:rsidR="008B0769" w:rsidRPr="00BA12D4" w:rsidRDefault="008B0769" w:rsidP="00BA12D4">
      <w:pPr>
        <w:pStyle w:val="Prrafodelista2"/>
        <w:numPr>
          <w:ilvl w:val="0"/>
          <w:numId w:val="1"/>
        </w:numPr>
        <w:spacing w:after="200" w:line="192" w:lineRule="auto"/>
        <w:jc w:val="both"/>
        <w:rPr>
          <w:rFonts w:ascii="Calibri" w:hAnsi="Calibri" w:cs="Calibri"/>
          <w:sz w:val="22"/>
          <w:szCs w:val="22"/>
        </w:rPr>
      </w:pPr>
      <w:r w:rsidRPr="00BA12D4">
        <w:rPr>
          <w:rFonts w:ascii="Calibri" w:hAnsi="Calibri" w:cs="Calibri"/>
          <w:sz w:val="22"/>
          <w:szCs w:val="22"/>
        </w:rPr>
        <w:t>Necesidad de adecuar la estructura organizacional y académica de la unidad.</w:t>
      </w:r>
    </w:p>
    <w:p w14:paraId="46F2D4B5" w14:textId="77777777" w:rsidR="008B0769" w:rsidRPr="00BA12D4" w:rsidRDefault="008B0769" w:rsidP="00BA12D4">
      <w:pPr>
        <w:pStyle w:val="Prrafodelista2"/>
        <w:spacing w:after="200" w:line="192" w:lineRule="auto"/>
        <w:ind w:left="0"/>
        <w:jc w:val="both"/>
        <w:rPr>
          <w:rFonts w:ascii="Calibri" w:hAnsi="Calibri" w:cs="Calibri"/>
          <w:b/>
          <w:sz w:val="22"/>
          <w:szCs w:val="22"/>
        </w:rPr>
      </w:pPr>
    </w:p>
    <w:p w14:paraId="6CD6FD37" w14:textId="77777777" w:rsidR="008B0769" w:rsidRPr="00BA12D4" w:rsidRDefault="008B0769" w:rsidP="00BA12D4">
      <w:pPr>
        <w:pStyle w:val="Prrafodelista2"/>
        <w:numPr>
          <w:ilvl w:val="0"/>
          <w:numId w:val="1"/>
        </w:numPr>
        <w:spacing w:after="200" w:line="192" w:lineRule="auto"/>
        <w:jc w:val="both"/>
        <w:rPr>
          <w:rFonts w:ascii="Calibri" w:hAnsi="Calibri" w:cs="Calibri"/>
          <w:sz w:val="22"/>
          <w:szCs w:val="22"/>
        </w:rPr>
      </w:pPr>
      <w:r w:rsidRPr="00BA12D4">
        <w:rPr>
          <w:rFonts w:ascii="Calibri" w:hAnsi="Calibri" w:cs="Calibri"/>
          <w:sz w:val="22"/>
          <w:szCs w:val="22"/>
        </w:rPr>
        <w:t xml:space="preserve">Necesidad de crear mecanismos de articulación entre las especialidades de la EMTP y nuestras carreras técnicas de nivel superior que sean pertinentes. </w:t>
      </w:r>
    </w:p>
    <w:p w14:paraId="0EBD228A" w14:textId="77777777" w:rsidR="008B0769" w:rsidRPr="00BA12D4" w:rsidRDefault="008B0769" w:rsidP="00BA12D4">
      <w:pPr>
        <w:pStyle w:val="Prrafodelista2"/>
        <w:spacing w:after="200" w:line="192" w:lineRule="auto"/>
        <w:ind w:left="0"/>
        <w:jc w:val="both"/>
        <w:rPr>
          <w:rFonts w:ascii="Calibri" w:hAnsi="Calibri" w:cs="Calibri"/>
          <w:sz w:val="22"/>
          <w:szCs w:val="22"/>
        </w:rPr>
      </w:pPr>
    </w:p>
    <w:p w14:paraId="08E2CFD8" w14:textId="77777777" w:rsidR="008B0769" w:rsidRPr="00BA12D4" w:rsidRDefault="008B0769" w:rsidP="00BA12D4">
      <w:pPr>
        <w:pStyle w:val="Prrafodelista2"/>
        <w:numPr>
          <w:ilvl w:val="0"/>
          <w:numId w:val="1"/>
        </w:numPr>
        <w:spacing w:after="200" w:line="192" w:lineRule="auto"/>
        <w:jc w:val="both"/>
        <w:rPr>
          <w:rFonts w:ascii="Calibri" w:hAnsi="Calibri" w:cs="Calibri"/>
          <w:sz w:val="22"/>
          <w:szCs w:val="22"/>
        </w:rPr>
      </w:pPr>
      <w:r w:rsidRPr="00BA12D4">
        <w:rPr>
          <w:rFonts w:ascii="Calibri" w:hAnsi="Calibri" w:cs="Calibri"/>
          <w:sz w:val="22"/>
          <w:szCs w:val="22"/>
        </w:rPr>
        <w:t>Gran porcentaje, 93%,  de los docentes no cuentan, por provenir del mundo laboral, con las competencias pedagógicas de enseñanza, según los requerimientos del modelo de formación basado en resultados de aprendizaje y competencias.</w:t>
      </w:r>
    </w:p>
    <w:p w14:paraId="004C3E6E" w14:textId="77777777" w:rsidR="008B0769" w:rsidRPr="00BA12D4" w:rsidRDefault="008B0769" w:rsidP="00BA12D4">
      <w:pPr>
        <w:pStyle w:val="Prrafodelista2"/>
        <w:spacing w:after="200"/>
        <w:ind w:left="0"/>
        <w:jc w:val="both"/>
        <w:rPr>
          <w:rFonts w:ascii="Calibri" w:hAnsi="Calibri" w:cs="Calibri"/>
          <w:sz w:val="22"/>
          <w:szCs w:val="22"/>
        </w:rPr>
      </w:pPr>
    </w:p>
    <w:p w14:paraId="0803B4D7" w14:textId="77777777" w:rsidR="008B0769" w:rsidRPr="00BA12D4" w:rsidRDefault="008B0769" w:rsidP="00BA12D4">
      <w:pPr>
        <w:pStyle w:val="Prrafodelista2"/>
        <w:spacing w:after="200"/>
        <w:ind w:left="0"/>
        <w:jc w:val="both"/>
        <w:rPr>
          <w:rFonts w:ascii="Calibri" w:hAnsi="Calibri" w:cs="Calibri"/>
          <w:sz w:val="22"/>
          <w:szCs w:val="22"/>
        </w:rPr>
      </w:pPr>
      <w:r w:rsidRPr="00BA12D4">
        <w:rPr>
          <w:rFonts w:ascii="Calibri" w:hAnsi="Calibri" w:cs="Calibri"/>
          <w:b/>
          <w:sz w:val="22"/>
          <w:szCs w:val="22"/>
        </w:rPr>
        <w:t>De Informe de Acreditación Institucional</w:t>
      </w:r>
      <w:r w:rsidRPr="00BA12D4">
        <w:rPr>
          <w:rFonts w:ascii="Calibri" w:hAnsi="Calibri" w:cs="Calibri"/>
          <w:sz w:val="22"/>
          <w:szCs w:val="22"/>
        </w:rPr>
        <w:t>:</w:t>
      </w:r>
    </w:p>
    <w:p w14:paraId="113D5C66" w14:textId="77777777" w:rsidR="008B0769" w:rsidRPr="00BA12D4" w:rsidRDefault="008B0769" w:rsidP="00BA12D4">
      <w:pPr>
        <w:autoSpaceDE w:val="0"/>
        <w:autoSpaceDN w:val="0"/>
        <w:adjustRightInd w:val="0"/>
        <w:spacing w:line="240" w:lineRule="auto"/>
        <w:jc w:val="both"/>
        <w:rPr>
          <w:rFonts w:eastAsia="Arial Unicode MS" w:cs="Calibri"/>
        </w:rPr>
      </w:pPr>
    </w:p>
    <w:p w14:paraId="7A0E710F" w14:textId="77777777" w:rsidR="008B0769" w:rsidRPr="00BA12D4" w:rsidRDefault="008B0769" w:rsidP="00BA12D4">
      <w:pPr>
        <w:autoSpaceDE w:val="0"/>
        <w:autoSpaceDN w:val="0"/>
        <w:adjustRightInd w:val="0"/>
        <w:spacing w:line="240" w:lineRule="auto"/>
        <w:jc w:val="both"/>
        <w:rPr>
          <w:rFonts w:eastAsia="Arial Unicode MS" w:cs="Calibri"/>
        </w:rPr>
      </w:pPr>
      <w:r w:rsidRPr="00BA12D4">
        <w:rPr>
          <w:rFonts w:eastAsia="Arial Unicode MS" w:cs="Calibri"/>
        </w:rPr>
        <w:t xml:space="preserve">Mediante </w:t>
      </w:r>
      <w:proofErr w:type="gramStart"/>
      <w:r w:rsidRPr="00BA12D4">
        <w:rPr>
          <w:rFonts w:eastAsia="Arial Unicode MS" w:cs="Calibri"/>
        </w:rPr>
        <w:t>la  Resolución</w:t>
      </w:r>
      <w:proofErr w:type="gramEnd"/>
      <w:r w:rsidRPr="00BA12D4">
        <w:rPr>
          <w:rFonts w:eastAsia="Arial Unicode MS" w:cs="Calibri"/>
        </w:rPr>
        <w:t xml:space="preserve"> de Acreditación Institucional </w:t>
      </w:r>
      <w:proofErr w:type="spellStart"/>
      <w:r w:rsidRPr="00BA12D4">
        <w:rPr>
          <w:rFonts w:eastAsia="Arial Unicode MS" w:cs="Calibri"/>
        </w:rPr>
        <w:t>Nº</w:t>
      </w:r>
      <w:proofErr w:type="spellEnd"/>
      <w:r w:rsidRPr="00BA12D4">
        <w:rPr>
          <w:rFonts w:eastAsia="Arial Unicode MS" w:cs="Calibri"/>
        </w:rPr>
        <w:t xml:space="preserve"> 187 del 14 de </w:t>
      </w:r>
      <w:proofErr w:type="gramStart"/>
      <w:r w:rsidRPr="00BA12D4">
        <w:rPr>
          <w:rFonts w:eastAsia="Arial Unicode MS" w:cs="Calibri"/>
        </w:rPr>
        <w:t>Enero</w:t>
      </w:r>
      <w:proofErr w:type="gramEnd"/>
      <w:r w:rsidRPr="00BA12D4">
        <w:rPr>
          <w:rFonts w:eastAsia="Arial Unicode MS" w:cs="Calibri"/>
        </w:rPr>
        <w:t xml:space="preserve"> de </w:t>
      </w:r>
      <w:proofErr w:type="gramStart"/>
      <w:r w:rsidRPr="00BA12D4">
        <w:rPr>
          <w:rFonts w:eastAsia="Arial Unicode MS" w:cs="Calibri"/>
        </w:rPr>
        <w:t>2013,  la</w:t>
      </w:r>
      <w:proofErr w:type="gramEnd"/>
      <w:r w:rsidRPr="00BA12D4">
        <w:rPr>
          <w:rFonts w:eastAsia="Arial Unicode MS" w:cs="Calibri"/>
        </w:rPr>
        <w:t xml:space="preserve"> Comisión Nacional de Acreditación acredita a la Universidad Católica de la Santísima Concepción por 4 años.  En este proceso de </w:t>
      </w:r>
      <w:proofErr w:type="gramStart"/>
      <w:r w:rsidRPr="00BA12D4">
        <w:rPr>
          <w:rFonts w:eastAsia="Arial Unicode MS" w:cs="Calibri"/>
        </w:rPr>
        <w:t>acreditación  se</w:t>
      </w:r>
      <w:proofErr w:type="gramEnd"/>
      <w:r w:rsidRPr="00BA12D4">
        <w:rPr>
          <w:rFonts w:eastAsia="Arial Unicode MS" w:cs="Calibri"/>
        </w:rPr>
        <w:t xml:space="preserve"> establecen debilidades directamente relacionadas con el proceso de formación en la educación técnico profesional, que, en su conjunto, dan cuenta de falta de homogeneidad en las instalaciones y equipamiento, así como la no percepción de la existencia y aplicación de mecanismos eficaces que aseguren calidad académica equivalente, entre las distintas sedes de la institución.</w:t>
      </w:r>
    </w:p>
    <w:p w14:paraId="1714505D" w14:textId="77777777" w:rsidR="008B0769" w:rsidRPr="00BA12D4" w:rsidRDefault="008B0769" w:rsidP="00BA12D4">
      <w:pPr>
        <w:autoSpaceDE w:val="0"/>
        <w:autoSpaceDN w:val="0"/>
        <w:adjustRightInd w:val="0"/>
        <w:spacing w:line="240" w:lineRule="auto"/>
        <w:jc w:val="both"/>
        <w:rPr>
          <w:rFonts w:eastAsia="Arial Unicode MS" w:cs="Calibri"/>
        </w:rPr>
      </w:pPr>
      <w:r w:rsidRPr="00BA12D4">
        <w:rPr>
          <w:rFonts w:eastAsia="Arial Unicode MS" w:cs="Calibri"/>
        </w:rPr>
        <w:t xml:space="preserve">En el ámbito de la docencia de pregrado el informe establece: "El Proyecto Educativo declarado por la Universidad, ha implicado adoptar un nuevo currículo, el cual se adecua a los nuevos paradigmas educacionales. Sin embargo, y considerando los niveles de formación ofrecidos (licenciatura, profesional y técnico), resulta necesario que la Institución asuma explícitamente </w:t>
      </w:r>
      <w:r w:rsidRPr="00BA12D4">
        <w:rPr>
          <w:rFonts w:eastAsia="Arial Unicode MS" w:cs="Calibri"/>
        </w:rPr>
        <w:lastRenderedPageBreak/>
        <w:t xml:space="preserve">las responsabilidades que ello implica, poniendo atención en los mecanismos de admisión, los procesos de enseñanza y aprendizaje y sus correspondientes resultados. </w:t>
      </w:r>
    </w:p>
    <w:p w14:paraId="015BBDE8" w14:textId="77777777" w:rsidR="008B0769" w:rsidRPr="00BA12D4" w:rsidRDefault="008B0769" w:rsidP="00BA12D4">
      <w:pPr>
        <w:pStyle w:val="Prrafodelista2"/>
        <w:spacing w:after="200"/>
        <w:ind w:left="0"/>
        <w:jc w:val="both"/>
        <w:rPr>
          <w:rFonts w:ascii="Calibri" w:eastAsia="Arial Unicode MS" w:hAnsi="Calibri" w:cs="Calibri"/>
          <w:sz w:val="22"/>
          <w:szCs w:val="22"/>
        </w:rPr>
      </w:pPr>
      <w:r w:rsidRPr="00BA12D4">
        <w:rPr>
          <w:rFonts w:ascii="Calibri" w:eastAsia="Arial Unicode MS" w:hAnsi="Calibri" w:cs="Calibri"/>
          <w:sz w:val="22"/>
          <w:szCs w:val="22"/>
        </w:rPr>
        <w:t>Respecto de mecanismos de aseguramiento de la calidad, en general, y de procesos de acreditación de carreras, en particular, la Universidad ha experimentado un aumento significativo en el número de carreras acreditadas. Este avance no se ha replicado en las carreras técnicas o profesionales sin licenciatura. El retraso en la acreditación de estos programas, se ha visto condicionado por el escaso avance en el diseño e implementación  de procesos de renovación curricular y la falta de mecanismos de evaluación del logro del perfil de egreso.</w:t>
      </w:r>
    </w:p>
    <w:p w14:paraId="37CAC212" w14:textId="379110A6" w:rsidR="0050790D" w:rsidRPr="00BA12D4" w:rsidRDefault="008B0769" w:rsidP="00BA12D4">
      <w:pPr>
        <w:rPr>
          <w:rFonts w:eastAsia="Arial Unicode MS" w:cs="Calibri"/>
        </w:rPr>
      </w:pPr>
      <w:r w:rsidRPr="00BA12D4">
        <w:rPr>
          <w:rFonts w:eastAsia="Arial Unicode MS" w:cs="Calibri"/>
        </w:rPr>
        <w:t>En concordancia con lo expuesto anteriormente, se define el presente Plan de Mejoramiento Institucional, que se hace cargo de las debilidades en el ámbito de la Educación Técnica Profesional que imparte la Universidad Católica de la Santísima Concepción.</w:t>
      </w:r>
    </w:p>
    <w:p w14:paraId="793037A6" w14:textId="77777777" w:rsidR="008B22EF" w:rsidRPr="00BA12D4" w:rsidRDefault="008B22EF" w:rsidP="00BA12D4">
      <w:pPr>
        <w:rPr>
          <w:rFonts w:eastAsia="Arial Unicode MS" w:cs="Calibri"/>
        </w:rPr>
      </w:pPr>
    </w:p>
    <w:p w14:paraId="6006170F" w14:textId="77777777" w:rsidR="008B22EF" w:rsidRPr="00BA12D4" w:rsidRDefault="008B22EF" w:rsidP="00BA12D4">
      <w:pPr>
        <w:rPr>
          <w:rFonts w:eastAsia="Arial Unicode MS" w:cs="Calibri"/>
        </w:rPr>
      </w:pPr>
    </w:p>
    <w:p w14:paraId="04081A0F" w14:textId="77777777" w:rsidR="008B22EF" w:rsidRPr="00BA12D4" w:rsidRDefault="008B22EF" w:rsidP="00BA12D4">
      <w:pPr>
        <w:jc w:val="both"/>
        <w:rPr>
          <w:rFonts w:cs="Calibri"/>
          <w:lang w:val="es-CL"/>
        </w:rPr>
      </w:pPr>
      <w:r w:rsidRPr="00BA12D4">
        <w:rPr>
          <w:rFonts w:cs="Calibri"/>
          <w:lang w:val="es-CL"/>
        </w:rPr>
        <w:t>La Universidad Católica de la Santísima Concepción fue fundada por Decreto del Arzobispado de Concepción el 10 de julio de 1991, a partir de la Sede Regional Talcahuano de la Pontificia Universidad Católica de Chile. Es una institución de educación superior autónoma y acreditada, partícipe de la misión de la Iglesia Católica, que posee una comunidad académica de alto nivel y en permanente perfeccionamiento, orientada a formar personas y a ofrecerles oportunidades de educación, en un marco de cercanía, acogida y apoyo a sus necesidades académicas y personales.</w:t>
      </w:r>
    </w:p>
    <w:p w14:paraId="45DC6A2B" w14:textId="77777777" w:rsidR="008B22EF" w:rsidRPr="00BA12D4" w:rsidRDefault="008B22EF" w:rsidP="00BA12D4">
      <w:pPr>
        <w:pStyle w:val="Textoindependiente2"/>
        <w:spacing w:after="200"/>
        <w:rPr>
          <w:rStyle w:val="A16"/>
          <w:rFonts w:ascii="Calibri" w:eastAsia="SimSun" w:hAnsi="Calibri" w:cs="Calibri"/>
          <w:b w:val="0"/>
          <w:bCs/>
          <w:szCs w:val="22"/>
        </w:rPr>
      </w:pPr>
      <w:r w:rsidRPr="00BA12D4">
        <w:rPr>
          <w:rFonts w:ascii="Calibri" w:hAnsi="Calibri" w:cs="Calibri"/>
          <w:color w:val="000000"/>
          <w:kern w:val="24"/>
          <w:szCs w:val="22"/>
        </w:rPr>
        <w:t xml:space="preserve">La Universidad, en su Plan de Desarrollo Estratégico 2012-2016, declara en su línea estratégica Nº2 </w:t>
      </w:r>
      <w:r w:rsidRPr="00BA12D4">
        <w:rPr>
          <w:rFonts w:ascii="Calibri" w:hAnsi="Calibri" w:cs="Calibri"/>
          <w:szCs w:val="22"/>
        </w:rPr>
        <w:t>“L</w:t>
      </w:r>
      <w:r w:rsidRPr="00BA12D4">
        <w:rPr>
          <w:rStyle w:val="A16"/>
          <w:rFonts w:ascii="Calibri" w:eastAsia="SimSun" w:hAnsi="Calibri" w:cs="Calibri"/>
          <w:bCs/>
          <w:szCs w:val="22"/>
        </w:rPr>
        <w:t>a Universidad reconocida como centro de excelencia por la calidad de su docencia de pregrado”.</w:t>
      </w:r>
    </w:p>
    <w:p w14:paraId="33E1E0B8" w14:textId="77777777" w:rsidR="008B22EF" w:rsidRPr="00BA12D4" w:rsidRDefault="008B22EF" w:rsidP="00BA12D4">
      <w:pPr>
        <w:pStyle w:val="Textoindependiente2"/>
        <w:spacing w:after="200"/>
        <w:rPr>
          <w:rFonts w:ascii="Calibri" w:hAnsi="Calibri" w:cs="Calibri"/>
          <w:bCs/>
          <w:color w:val="000000"/>
          <w:szCs w:val="22"/>
        </w:rPr>
      </w:pPr>
      <w:r w:rsidRPr="00BA12D4">
        <w:rPr>
          <w:rStyle w:val="A16"/>
          <w:rFonts w:ascii="Calibri" w:eastAsia="SimSun" w:hAnsi="Calibri" w:cs="Calibri"/>
          <w:bCs/>
          <w:szCs w:val="22"/>
        </w:rPr>
        <w:t>Teniendo como desafío: “Brindar a nuestros estudiantes una real posibilidad de cumplir con sus expectativas de obtener formación universitaria y un desarrollo personal y profesional, con servicios de calidad”.</w:t>
      </w:r>
    </w:p>
    <w:p w14:paraId="7B76B84D" w14:textId="77777777" w:rsidR="008B22EF" w:rsidRPr="00BA12D4" w:rsidRDefault="008B22EF" w:rsidP="00BA12D4">
      <w:pPr>
        <w:pStyle w:val="Textoindependiente2"/>
        <w:spacing w:after="200"/>
        <w:rPr>
          <w:rFonts w:ascii="Calibri" w:hAnsi="Calibri" w:cs="Calibri"/>
          <w:szCs w:val="22"/>
        </w:rPr>
      </w:pPr>
    </w:p>
    <w:p w14:paraId="14894A6D" w14:textId="77777777" w:rsidR="008B22EF" w:rsidRPr="00BA12D4" w:rsidRDefault="008B22EF" w:rsidP="00BA12D4">
      <w:pPr>
        <w:pStyle w:val="Textoindependiente2"/>
        <w:spacing w:after="200"/>
        <w:rPr>
          <w:rFonts w:ascii="Calibri" w:hAnsi="Calibri" w:cs="Calibri"/>
          <w:szCs w:val="22"/>
        </w:rPr>
      </w:pPr>
      <w:r w:rsidRPr="00BA12D4">
        <w:rPr>
          <w:rFonts w:ascii="Calibri" w:hAnsi="Calibri" w:cs="Calibri"/>
          <w:szCs w:val="22"/>
        </w:rPr>
        <w:t xml:space="preserve">La Universidad Católica de la Santísima </w:t>
      </w:r>
      <w:proofErr w:type="gramStart"/>
      <w:r w:rsidRPr="00BA12D4">
        <w:rPr>
          <w:rFonts w:ascii="Calibri" w:hAnsi="Calibri" w:cs="Calibri"/>
          <w:szCs w:val="22"/>
        </w:rPr>
        <w:t>Concepción,  comienza</w:t>
      </w:r>
      <w:proofErr w:type="gramEnd"/>
      <w:r w:rsidRPr="00BA12D4">
        <w:rPr>
          <w:rFonts w:ascii="Calibri" w:hAnsi="Calibri" w:cs="Calibri"/>
          <w:szCs w:val="22"/>
        </w:rPr>
        <w:t xml:space="preserve"> en </w:t>
      </w:r>
      <w:proofErr w:type="gramStart"/>
      <w:r w:rsidRPr="00BA12D4">
        <w:rPr>
          <w:rFonts w:ascii="Calibri" w:hAnsi="Calibri" w:cs="Calibri"/>
          <w:szCs w:val="22"/>
        </w:rPr>
        <w:t>Marzo</w:t>
      </w:r>
      <w:proofErr w:type="gramEnd"/>
      <w:r w:rsidRPr="00BA12D4">
        <w:rPr>
          <w:rFonts w:ascii="Calibri" w:hAnsi="Calibri" w:cs="Calibri"/>
          <w:szCs w:val="22"/>
        </w:rPr>
        <w:t xml:space="preserve"> de 1995 a impartir Educación Técnica de Nivel </w:t>
      </w:r>
      <w:proofErr w:type="gramStart"/>
      <w:r w:rsidRPr="00BA12D4">
        <w:rPr>
          <w:rFonts w:ascii="Calibri" w:hAnsi="Calibri" w:cs="Calibri"/>
          <w:szCs w:val="22"/>
        </w:rPr>
        <w:t>Superior,  mediante</w:t>
      </w:r>
      <w:proofErr w:type="gramEnd"/>
      <w:r w:rsidRPr="00BA12D4">
        <w:rPr>
          <w:rFonts w:ascii="Calibri" w:hAnsi="Calibri" w:cs="Calibri"/>
          <w:szCs w:val="22"/>
        </w:rPr>
        <w:t xml:space="preserve"> la creación de la Escuela de Estudios Técnicos, que dictó, hasta el año 1998, tres carreras. En este mismo </w:t>
      </w:r>
      <w:proofErr w:type="gramStart"/>
      <w:r w:rsidRPr="00BA12D4">
        <w:rPr>
          <w:rFonts w:ascii="Calibri" w:hAnsi="Calibri" w:cs="Calibri"/>
          <w:szCs w:val="22"/>
        </w:rPr>
        <w:t>año,  es</w:t>
      </w:r>
      <w:proofErr w:type="gramEnd"/>
      <w:r w:rsidRPr="00BA12D4">
        <w:rPr>
          <w:rFonts w:ascii="Calibri" w:hAnsi="Calibri" w:cs="Calibri"/>
          <w:szCs w:val="22"/>
        </w:rPr>
        <w:t xml:space="preserve"> decretada la creación del Instituto Tecnológico.  Esta nueva unidad docente, dependiente de la Vicerrectoría Académica, inicia sus actividades en Talcahuano y Los Ángeles, posteriormente, en el año </w:t>
      </w:r>
      <w:proofErr w:type="gramStart"/>
      <w:r w:rsidRPr="00BA12D4">
        <w:rPr>
          <w:rFonts w:ascii="Calibri" w:hAnsi="Calibri" w:cs="Calibri"/>
          <w:szCs w:val="22"/>
        </w:rPr>
        <w:t>2000,  en</w:t>
      </w:r>
      <w:proofErr w:type="gramEnd"/>
      <w:r w:rsidRPr="00BA12D4">
        <w:rPr>
          <w:rFonts w:ascii="Calibri" w:hAnsi="Calibri" w:cs="Calibri"/>
          <w:szCs w:val="22"/>
        </w:rPr>
        <w:t xml:space="preserve"> Chillán y, finalmente, en el año </w:t>
      </w:r>
      <w:proofErr w:type="gramStart"/>
      <w:r w:rsidRPr="00BA12D4">
        <w:rPr>
          <w:rFonts w:ascii="Calibri" w:hAnsi="Calibri" w:cs="Calibri"/>
          <w:szCs w:val="22"/>
          <w:shd w:val="clear" w:color="auto" w:fill="FFFFFF"/>
        </w:rPr>
        <w:t>2005,  abre</w:t>
      </w:r>
      <w:proofErr w:type="gramEnd"/>
      <w:r w:rsidRPr="00BA12D4">
        <w:rPr>
          <w:rFonts w:ascii="Calibri" w:hAnsi="Calibri" w:cs="Calibri"/>
          <w:szCs w:val="22"/>
          <w:shd w:val="clear" w:color="auto" w:fill="FFFFFF"/>
        </w:rPr>
        <w:t xml:space="preserve"> sus puertas </w:t>
      </w:r>
      <w:r w:rsidRPr="00BA12D4">
        <w:rPr>
          <w:rFonts w:ascii="Calibri" w:hAnsi="Calibri" w:cs="Calibri"/>
          <w:szCs w:val="22"/>
        </w:rPr>
        <w:t xml:space="preserve">la Sede Cañete, lo que se traduce </w:t>
      </w:r>
      <w:proofErr w:type="gramStart"/>
      <w:r w:rsidRPr="00BA12D4">
        <w:rPr>
          <w:rFonts w:ascii="Calibri" w:hAnsi="Calibri" w:cs="Calibri"/>
          <w:szCs w:val="22"/>
        </w:rPr>
        <w:t>actualmente  en</w:t>
      </w:r>
      <w:proofErr w:type="gramEnd"/>
      <w:r w:rsidRPr="00BA12D4">
        <w:rPr>
          <w:rFonts w:ascii="Calibri" w:hAnsi="Calibri" w:cs="Calibri"/>
          <w:szCs w:val="22"/>
        </w:rPr>
        <w:t xml:space="preserve"> una presencia en las cuatro provincias de la región del Bío-Bío. Esta unidad tiene por misión “Formar profesionales y técnicos de alto nivel, a través de un proceso educativo centrado en el estudiante, con reconocidos estándares de calidad, aportando al desarrollo social y económico de la región y del país, acorde a los principios éticos y valóricos de la Fe cristiana”. Esta unidad, en su Plan de Desarrollo 2013-2016, tiene </w:t>
      </w:r>
      <w:proofErr w:type="gramStart"/>
      <w:r w:rsidRPr="00BA12D4">
        <w:rPr>
          <w:rFonts w:ascii="Calibri" w:hAnsi="Calibri" w:cs="Calibri"/>
          <w:szCs w:val="22"/>
        </w:rPr>
        <w:t>como  objetivos</w:t>
      </w:r>
      <w:proofErr w:type="gramEnd"/>
      <w:r w:rsidRPr="00BA12D4">
        <w:rPr>
          <w:rFonts w:ascii="Calibri" w:hAnsi="Calibri" w:cs="Calibri"/>
          <w:szCs w:val="22"/>
        </w:rPr>
        <w:t xml:space="preserve"> estratégico, entre otros:</w:t>
      </w:r>
    </w:p>
    <w:p w14:paraId="71F8F303" w14:textId="77777777" w:rsidR="008B22EF" w:rsidRPr="00BA12D4" w:rsidRDefault="008B22EF" w:rsidP="00BA12D4">
      <w:pPr>
        <w:spacing w:line="240" w:lineRule="auto"/>
        <w:jc w:val="both"/>
        <w:rPr>
          <w:rFonts w:cs="Calibri"/>
        </w:rPr>
      </w:pPr>
    </w:p>
    <w:p w14:paraId="768FBBDD" w14:textId="77777777" w:rsidR="008B22EF" w:rsidRPr="00BA12D4" w:rsidRDefault="008B22EF" w:rsidP="00BA12D4">
      <w:pPr>
        <w:spacing w:line="240" w:lineRule="auto"/>
        <w:jc w:val="both"/>
        <w:rPr>
          <w:rFonts w:cs="Calibri"/>
        </w:rPr>
      </w:pPr>
      <w:r w:rsidRPr="00BA12D4">
        <w:rPr>
          <w:rFonts w:cs="Calibri"/>
        </w:rPr>
        <w:t>1.</w:t>
      </w:r>
      <w:proofErr w:type="gramStart"/>
      <w:r w:rsidRPr="00BA12D4">
        <w:rPr>
          <w:rFonts w:cs="Calibri"/>
        </w:rPr>
        <w:t>-“</w:t>
      </w:r>
      <w:proofErr w:type="gramEnd"/>
      <w:r w:rsidRPr="00BA12D4">
        <w:rPr>
          <w:rFonts w:cs="Calibri"/>
        </w:rPr>
        <w:t>Fortalecer la gestión académica con el fin de garantizar la calidad del proceso de enseñanza aprendizaje a través de la implementación de mecanismos de aseguramiento de la calidad”.</w:t>
      </w:r>
    </w:p>
    <w:p w14:paraId="0326FE35" w14:textId="77777777" w:rsidR="008B22EF" w:rsidRPr="00BA12D4" w:rsidRDefault="008B22EF" w:rsidP="00BA12D4">
      <w:pPr>
        <w:spacing w:line="240" w:lineRule="auto"/>
        <w:jc w:val="both"/>
        <w:rPr>
          <w:rFonts w:cs="Calibri"/>
        </w:rPr>
      </w:pPr>
    </w:p>
    <w:p w14:paraId="09F2E08B" w14:textId="77777777" w:rsidR="008B22EF" w:rsidRPr="00BA12D4" w:rsidRDefault="008B22EF" w:rsidP="00BA12D4">
      <w:pPr>
        <w:spacing w:line="240" w:lineRule="auto"/>
        <w:jc w:val="both"/>
        <w:rPr>
          <w:rFonts w:cs="Calibri"/>
        </w:rPr>
      </w:pPr>
      <w:r w:rsidRPr="00BA12D4">
        <w:rPr>
          <w:rFonts w:cs="Calibri"/>
        </w:rPr>
        <w:t>2.-Garantizar una oferta académica pertinente a los requerimientos sociales y productivos de la región y el país.</w:t>
      </w:r>
    </w:p>
    <w:p w14:paraId="459CEB32" w14:textId="77777777" w:rsidR="008B22EF" w:rsidRPr="00BA12D4" w:rsidRDefault="008B22EF" w:rsidP="00BA12D4">
      <w:pPr>
        <w:spacing w:line="240" w:lineRule="auto"/>
        <w:jc w:val="both"/>
        <w:rPr>
          <w:rFonts w:cs="Calibri"/>
        </w:rPr>
      </w:pPr>
    </w:p>
    <w:p w14:paraId="2FF7BE90" w14:textId="77777777" w:rsidR="008B22EF" w:rsidRPr="00BA12D4" w:rsidRDefault="008B22EF" w:rsidP="00BA12D4">
      <w:pPr>
        <w:spacing w:line="240" w:lineRule="auto"/>
        <w:jc w:val="both"/>
        <w:rPr>
          <w:rFonts w:cs="Calibri"/>
          <w:shd w:val="clear" w:color="auto" w:fill="FFFF00"/>
        </w:rPr>
      </w:pPr>
      <w:r w:rsidRPr="00BA12D4">
        <w:rPr>
          <w:rFonts w:cs="Calibri"/>
        </w:rPr>
        <w:t xml:space="preserve">Actualmente atiende a 3.377 estudiantes en las cuatro sedes, de los </w:t>
      </w:r>
      <w:proofErr w:type="gramStart"/>
      <w:r w:rsidRPr="00BA12D4">
        <w:rPr>
          <w:rFonts w:cs="Calibri"/>
        </w:rPr>
        <w:t>cuales  2.303</w:t>
      </w:r>
      <w:proofErr w:type="gramEnd"/>
      <w:r w:rsidRPr="00BA12D4">
        <w:rPr>
          <w:rFonts w:cs="Calibri"/>
        </w:rPr>
        <w:t xml:space="preserve"> son estudiantes de carreras </w:t>
      </w:r>
      <w:proofErr w:type="gramStart"/>
      <w:r w:rsidRPr="00BA12D4">
        <w:rPr>
          <w:rFonts w:cs="Calibri"/>
        </w:rPr>
        <w:t>técnicas  y</w:t>
      </w:r>
      <w:proofErr w:type="gramEnd"/>
      <w:r w:rsidRPr="00BA12D4">
        <w:rPr>
          <w:rFonts w:cs="Calibri"/>
        </w:rPr>
        <w:t xml:space="preserve"> 1.074 </w:t>
      </w:r>
      <w:proofErr w:type="gramStart"/>
      <w:r w:rsidRPr="00BA12D4">
        <w:rPr>
          <w:rFonts w:cs="Calibri"/>
        </w:rPr>
        <w:t>estudiantes  de</w:t>
      </w:r>
      <w:proofErr w:type="gramEnd"/>
      <w:r w:rsidRPr="00BA12D4">
        <w:rPr>
          <w:rFonts w:cs="Calibri"/>
        </w:rPr>
        <w:t xml:space="preserve"> nivel profesional.  La Sede Talcahuano posee un total de 1.072 estudiantes, la Sede Cañete 1.057, la Sede de Los Ángeles 696 y la Sede Chillán 553 estudiantes. </w:t>
      </w:r>
      <w:r w:rsidRPr="00BA12D4">
        <w:rPr>
          <w:rFonts w:cs="Calibri"/>
          <w:shd w:val="clear" w:color="auto" w:fill="FFFFFF"/>
        </w:rPr>
        <w:t xml:space="preserve">El </w:t>
      </w:r>
      <w:r w:rsidRPr="00BA12D4">
        <w:rPr>
          <w:rFonts w:cs="Calibri"/>
        </w:rPr>
        <w:t>82%</w:t>
      </w:r>
      <w:r w:rsidRPr="00BA12D4">
        <w:rPr>
          <w:rFonts w:cs="Calibri"/>
          <w:shd w:val="clear" w:color="auto" w:fill="FFFFFF"/>
        </w:rPr>
        <w:t xml:space="preserve"> de los estudiantes de carreras técnicas pertenece a los tres primeros quintiles de la clasificación de vulnerabilidad social, razón por la cual, un alto porcentaje de ellos postula y se adjudica la Beca Nuevo Milenio.</w:t>
      </w:r>
      <w:r w:rsidRPr="00BA12D4">
        <w:rPr>
          <w:rFonts w:cs="Calibri"/>
        </w:rPr>
        <w:t xml:space="preserve"> En el presente año, postuló el 87% de los estudiantes de carreras técnicas, de los cuales resultaron favorecidos un 79%.</w:t>
      </w:r>
    </w:p>
    <w:p w14:paraId="4E5669F6" w14:textId="77777777" w:rsidR="008B22EF" w:rsidRPr="00BA12D4" w:rsidRDefault="008B22EF" w:rsidP="00BA12D4">
      <w:pPr>
        <w:spacing w:line="240" w:lineRule="auto"/>
        <w:jc w:val="both"/>
        <w:rPr>
          <w:rFonts w:cs="Calibri"/>
        </w:rPr>
      </w:pPr>
    </w:p>
    <w:p w14:paraId="642BDF6D" w14:textId="77777777" w:rsidR="008B22EF" w:rsidRPr="00BA12D4" w:rsidRDefault="008B22EF" w:rsidP="00BA12D4">
      <w:pPr>
        <w:spacing w:line="240" w:lineRule="auto"/>
        <w:jc w:val="both"/>
        <w:rPr>
          <w:rFonts w:cs="Calibri"/>
        </w:rPr>
      </w:pPr>
      <w:r w:rsidRPr="00BA12D4">
        <w:rPr>
          <w:rFonts w:cs="Calibri"/>
        </w:rPr>
        <w:t xml:space="preserve">El cuerpo académico está compuesto por un total de 315 docentes, de los cuales 33 son de planta y 282 </w:t>
      </w:r>
      <w:proofErr w:type="spellStart"/>
      <w:r w:rsidRPr="00BA12D4">
        <w:rPr>
          <w:rFonts w:cs="Calibri"/>
        </w:rPr>
        <w:t>Part</w:t>
      </w:r>
      <w:proofErr w:type="spellEnd"/>
      <w:r w:rsidRPr="00BA12D4">
        <w:rPr>
          <w:rFonts w:cs="Calibri"/>
        </w:rPr>
        <w:t xml:space="preserve"> Time. De los 33 docentes de planta, 15 corresponden a jornada completa, 2 a media jornada y 16 a jornada parcial. Los docentes, en su mayoría, aproximadamente un 80%, corresponden a profesionales con experiencia laboral en el área de su formación, privilegiando para su contratación aquellos con experiencia docente.</w:t>
      </w:r>
    </w:p>
    <w:p w14:paraId="0227495E" w14:textId="77777777" w:rsidR="008B22EF" w:rsidRPr="00BA12D4" w:rsidRDefault="008B22EF" w:rsidP="00BA12D4">
      <w:pPr>
        <w:spacing w:line="240" w:lineRule="auto"/>
        <w:jc w:val="both"/>
        <w:rPr>
          <w:rFonts w:cs="Calibri"/>
        </w:rPr>
      </w:pPr>
      <w:r w:rsidRPr="00BA12D4">
        <w:rPr>
          <w:rFonts w:cs="Calibri"/>
        </w:rPr>
        <w:t xml:space="preserve">El Instituto Tecnológico de la UCSC imparte un total de 19 programas de estudios, 12 conducentes a título </w:t>
      </w:r>
      <w:proofErr w:type="gramStart"/>
      <w:r w:rsidRPr="00BA12D4">
        <w:rPr>
          <w:rFonts w:cs="Calibri"/>
        </w:rPr>
        <w:t>de  técnico</w:t>
      </w:r>
      <w:proofErr w:type="gramEnd"/>
      <w:r w:rsidRPr="00BA12D4">
        <w:rPr>
          <w:rFonts w:cs="Calibri"/>
        </w:rPr>
        <w:t xml:space="preserve"> de nivel </w:t>
      </w:r>
      <w:proofErr w:type="gramStart"/>
      <w:r w:rsidRPr="00BA12D4">
        <w:rPr>
          <w:rFonts w:cs="Calibri"/>
        </w:rPr>
        <w:t>superior  y</w:t>
      </w:r>
      <w:proofErr w:type="gramEnd"/>
      <w:r w:rsidRPr="00BA12D4">
        <w:rPr>
          <w:rFonts w:cs="Calibri"/>
        </w:rPr>
        <w:t xml:space="preserve"> 7 a título profesional sin licenciatura, tres de estos últimos corresponden a programas de continuidad de estudios. </w:t>
      </w:r>
    </w:p>
    <w:p w14:paraId="1892695C" w14:textId="4DBF72F6" w:rsidR="008B22EF" w:rsidRPr="00BA12D4" w:rsidRDefault="008B22EF" w:rsidP="00BA12D4">
      <w:pPr>
        <w:spacing w:line="240" w:lineRule="auto"/>
        <w:jc w:val="both"/>
        <w:rPr>
          <w:rFonts w:cs="Calibri"/>
        </w:rPr>
      </w:pPr>
      <w:r w:rsidRPr="00BA12D4">
        <w:rPr>
          <w:rFonts w:cs="Calibri"/>
        </w:rPr>
        <w:t xml:space="preserve">Desde el año 1995 a la fecha se han titulado 2.347 estudiantes, de los cuales 940 corresponden al nivel técnico y 1.407 al nivel profesional sin licenciatura. </w:t>
      </w:r>
    </w:p>
    <w:p w14:paraId="43E0ACD6" w14:textId="77777777" w:rsidR="008B22EF" w:rsidRPr="00BA12D4" w:rsidRDefault="008B22EF" w:rsidP="00BA12D4">
      <w:pPr>
        <w:shd w:val="clear" w:color="auto" w:fill="FFFFFF"/>
        <w:tabs>
          <w:tab w:val="left" w:pos="456"/>
        </w:tabs>
        <w:spacing w:line="240" w:lineRule="auto"/>
        <w:jc w:val="both"/>
        <w:rPr>
          <w:rFonts w:cs="Calibri"/>
          <w:shd w:val="clear" w:color="auto" w:fill="FFFFFF"/>
        </w:rPr>
      </w:pPr>
      <w:r w:rsidRPr="00BA12D4">
        <w:rPr>
          <w:rFonts w:cs="Calibri"/>
          <w:shd w:val="clear" w:color="auto" w:fill="FFFFFF"/>
        </w:rPr>
        <w:t xml:space="preserve">La tasa de retención en el primer año (2012), es de un 70,9%. </w:t>
      </w:r>
    </w:p>
    <w:p w14:paraId="1D537359" w14:textId="77777777" w:rsidR="008B22EF" w:rsidRPr="00BA12D4" w:rsidRDefault="008B22EF" w:rsidP="00BA12D4">
      <w:pPr>
        <w:shd w:val="clear" w:color="auto" w:fill="FFFFFF"/>
        <w:tabs>
          <w:tab w:val="left" w:pos="456"/>
        </w:tabs>
        <w:spacing w:line="240" w:lineRule="auto"/>
        <w:jc w:val="both"/>
        <w:rPr>
          <w:rFonts w:cs="Calibri"/>
        </w:rPr>
      </w:pPr>
      <w:r w:rsidRPr="00BA12D4">
        <w:rPr>
          <w:rFonts w:cs="Calibri"/>
          <w:shd w:val="clear" w:color="auto" w:fill="FFFFFF"/>
        </w:rPr>
        <w:t>Los tiempos de titulación para los programas TNS (5 semestres) son 7,3 semestres y para los programas profesionales (8 semestres) son 13,9 semestres.</w:t>
      </w:r>
    </w:p>
    <w:p w14:paraId="257CDC80" w14:textId="77777777" w:rsidR="008B22EF" w:rsidRPr="00BA12D4" w:rsidRDefault="008B22EF" w:rsidP="00BA12D4">
      <w:pPr>
        <w:spacing w:line="240" w:lineRule="auto"/>
        <w:jc w:val="both"/>
        <w:rPr>
          <w:rFonts w:cs="Calibri"/>
        </w:rPr>
      </w:pPr>
    </w:p>
    <w:p w14:paraId="3A8E66BC" w14:textId="77777777" w:rsidR="008B22EF" w:rsidRPr="00BA12D4" w:rsidRDefault="008B22EF" w:rsidP="00BA12D4">
      <w:pPr>
        <w:rPr>
          <w:rFonts w:cs="Calibri"/>
        </w:rPr>
      </w:pPr>
    </w:p>
    <w:sectPr w:rsidR="008B22EF" w:rsidRPr="00BA12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10B7F"/>
    <w:multiLevelType w:val="hybridMultilevel"/>
    <w:tmpl w:val="974A92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39612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69"/>
    <w:rsid w:val="00200E3B"/>
    <w:rsid w:val="0050790D"/>
    <w:rsid w:val="008B0769"/>
    <w:rsid w:val="008B22EF"/>
    <w:rsid w:val="00BA12D4"/>
    <w:rsid w:val="00C361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7C8B022F"/>
  <w15:chartTrackingRefBased/>
  <w15:docId w15:val="{5A384BC3-7399-8144-BE55-03AB31C9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769"/>
    <w:pPr>
      <w:spacing w:after="200" w:line="276" w:lineRule="auto"/>
    </w:pPr>
    <w:rPr>
      <w:rFonts w:ascii="Calibri" w:eastAsia="Calibri" w:hAnsi="Calibri" w:cs="Times New Roman"/>
      <w:kern w:val="0"/>
      <w:sz w:val="22"/>
      <w:szCs w:val="22"/>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8B0769"/>
    <w:pPr>
      <w:tabs>
        <w:tab w:val="left" w:leader="underscore" w:pos="3969"/>
        <w:tab w:val="left" w:leader="underscore" w:pos="8222"/>
      </w:tabs>
      <w:spacing w:after="0" w:line="240" w:lineRule="auto"/>
      <w:jc w:val="both"/>
    </w:pPr>
    <w:rPr>
      <w:rFonts w:ascii="Times New Roman" w:eastAsia="Times New Roman" w:hAnsi="Times New Roman"/>
      <w:szCs w:val="24"/>
      <w:lang w:eastAsia="es-ES"/>
    </w:rPr>
  </w:style>
  <w:style w:type="character" w:customStyle="1" w:styleId="Textoindependiente2Car">
    <w:name w:val="Texto independiente 2 Car"/>
    <w:basedOn w:val="Fuentedeprrafopredeter"/>
    <w:link w:val="Textoindependiente2"/>
    <w:rsid w:val="008B0769"/>
    <w:rPr>
      <w:rFonts w:ascii="Times New Roman" w:eastAsia="Times New Roman" w:hAnsi="Times New Roman" w:cs="Times New Roman"/>
      <w:kern w:val="0"/>
      <w:sz w:val="22"/>
      <w:lang w:val="es-ES" w:eastAsia="es-ES"/>
      <w14:ligatures w14:val="none"/>
    </w:rPr>
  </w:style>
  <w:style w:type="character" w:customStyle="1" w:styleId="A16">
    <w:name w:val="A16"/>
    <w:uiPriority w:val="99"/>
    <w:rsid w:val="008B0769"/>
    <w:rPr>
      <w:b/>
      <w:color w:val="000000"/>
      <w:sz w:val="22"/>
    </w:rPr>
  </w:style>
  <w:style w:type="paragraph" w:customStyle="1" w:styleId="Prrafodelista2">
    <w:name w:val="Párrafo de lista2"/>
    <w:basedOn w:val="Normal"/>
    <w:rsid w:val="008B0769"/>
    <w:pPr>
      <w:spacing w:after="0" w:line="240" w:lineRule="auto"/>
      <w:ind w:left="720"/>
      <w:contextualSpacing/>
    </w:pPr>
    <w:rPr>
      <w:rFonts w:ascii="Times New Roman" w:hAnsi="Times New Roman"/>
      <w:sz w:val="24"/>
      <w:szCs w:val="20"/>
      <w:lang w:val="es-C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1261</Words>
  <Characters>6992</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Enrique Vergara Muñoz</dc:creator>
  <cp:keywords/>
  <dc:description/>
  <cp:lastModifiedBy>Humberto Enrique Vergara Muñoz</cp:lastModifiedBy>
  <cp:revision>3</cp:revision>
  <dcterms:created xsi:type="dcterms:W3CDTF">2023-09-07T12:29:00Z</dcterms:created>
  <dcterms:modified xsi:type="dcterms:W3CDTF">2026-02-04T15:17:00Z</dcterms:modified>
</cp:coreProperties>
</file>