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577B" w14:textId="172A7728" w:rsidR="00A55827" w:rsidRDefault="008264B5" w:rsidP="008264B5">
      <w:pPr>
        <w:jc w:val="center"/>
        <w:rPr>
          <w:b/>
          <w:bCs/>
          <w:sz w:val="20"/>
          <w:szCs w:val="20"/>
          <w:lang w:val="es-ES_tradnl"/>
        </w:rPr>
      </w:pPr>
      <w:r w:rsidRPr="008264B5">
        <w:rPr>
          <w:b/>
          <w:bCs/>
          <w:sz w:val="20"/>
          <w:szCs w:val="20"/>
          <w:lang w:val="es-ES_tradnl"/>
        </w:rPr>
        <w:t>INFORME EJECUTIVO ESTRUCTURA IT</w:t>
      </w:r>
    </w:p>
    <w:p w14:paraId="38FACB16" w14:textId="5EE60188" w:rsidR="002D5D32" w:rsidRPr="008264B5" w:rsidRDefault="002D5D32" w:rsidP="008264B5">
      <w:pPr>
        <w:jc w:val="center"/>
        <w:rPr>
          <w:b/>
          <w:bCs/>
          <w:sz w:val="20"/>
          <w:szCs w:val="20"/>
          <w:lang w:val="es-ES_tradnl"/>
        </w:rPr>
      </w:pPr>
      <w:r>
        <w:rPr>
          <w:b/>
          <w:bCs/>
          <w:sz w:val="20"/>
          <w:szCs w:val="20"/>
          <w:lang w:val="es-ES_tradnl"/>
        </w:rPr>
        <w:t>Enero 2025</w:t>
      </w:r>
    </w:p>
    <w:p w14:paraId="2CDAA804" w14:textId="77777777" w:rsidR="00A55827" w:rsidRDefault="00A55827">
      <w:pPr>
        <w:rPr>
          <w:lang w:val="es-ES_tradnl"/>
        </w:rPr>
      </w:pPr>
    </w:p>
    <w:p w14:paraId="67870EAC" w14:textId="45F1F31B" w:rsidR="00A55827" w:rsidRDefault="00BF3183">
      <w:pPr>
        <w:rPr>
          <w:b/>
          <w:bCs/>
          <w:sz w:val="20"/>
          <w:szCs w:val="20"/>
          <w:u w:val="single"/>
          <w:lang w:val="es-ES_tradnl"/>
        </w:rPr>
      </w:pPr>
      <w:r w:rsidRPr="00BF3183">
        <w:rPr>
          <w:b/>
          <w:bCs/>
          <w:sz w:val="20"/>
          <w:szCs w:val="20"/>
          <w:u w:val="single"/>
          <w:lang w:val="es-ES_tradnl"/>
        </w:rPr>
        <w:t>Presentación</w:t>
      </w:r>
    </w:p>
    <w:p w14:paraId="2A2B9DA4" w14:textId="77777777" w:rsidR="0032164B" w:rsidRDefault="0032164B">
      <w:pPr>
        <w:rPr>
          <w:b/>
          <w:bCs/>
          <w:sz w:val="20"/>
          <w:szCs w:val="20"/>
          <w:u w:val="single"/>
          <w:lang w:val="es-ES_tradnl"/>
        </w:rPr>
      </w:pPr>
    </w:p>
    <w:p w14:paraId="00A2ED93" w14:textId="77777777" w:rsidR="0032164B" w:rsidRDefault="0032164B" w:rsidP="00BF3183">
      <w:pPr>
        <w:jc w:val="both"/>
        <w:rPr>
          <w:sz w:val="20"/>
          <w:szCs w:val="20"/>
          <w:lang w:val="es-ES_tradnl"/>
        </w:rPr>
      </w:pPr>
    </w:p>
    <w:p w14:paraId="24F60E2C" w14:textId="1937D05B" w:rsidR="00BF3183" w:rsidRDefault="0032164B" w:rsidP="00BF3183">
      <w:pPr>
        <w:jc w:val="both"/>
        <w:rPr>
          <w:sz w:val="20"/>
          <w:szCs w:val="20"/>
          <w:lang w:val="es-ES_tradnl"/>
        </w:rPr>
      </w:pPr>
      <w:r>
        <w:rPr>
          <w:sz w:val="20"/>
          <w:szCs w:val="20"/>
          <w:lang w:val="es-ES_tradnl"/>
        </w:rPr>
        <w:t>Considerando</w:t>
      </w:r>
      <w:r w:rsidR="00BF3183">
        <w:rPr>
          <w:sz w:val="20"/>
          <w:szCs w:val="20"/>
          <w:lang w:val="es-ES_tradnl"/>
        </w:rPr>
        <w:t xml:space="preserve"> que</w:t>
      </w:r>
      <w:r>
        <w:rPr>
          <w:sz w:val="20"/>
          <w:szCs w:val="20"/>
          <w:lang w:val="es-ES_tradnl"/>
        </w:rPr>
        <w:t>,</w:t>
      </w:r>
      <w:r w:rsidR="00BF3183">
        <w:rPr>
          <w:sz w:val="20"/>
          <w:szCs w:val="20"/>
          <w:lang w:val="es-ES_tradnl"/>
        </w:rPr>
        <w:t xml:space="preserve"> el segundo semestre del año 2024 se comenzó a implementar la nueva Estructura del Instituto Tecnológico en base al Decreto de Rectoría N°167/2024</w:t>
      </w:r>
      <w:r>
        <w:rPr>
          <w:sz w:val="20"/>
          <w:szCs w:val="20"/>
          <w:lang w:val="es-ES_tradnl"/>
        </w:rPr>
        <w:t xml:space="preserve"> y d</w:t>
      </w:r>
      <w:r w:rsidR="00BF3183">
        <w:rPr>
          <w:sz w:val="20"/>
          <w:szCs w:val="20"/>
          <w:lang w:val="es-ES_tradnl"/>
        </w:rPr>
        <w:t xml:space="preserve">entro de </w:t>
      </w:r>
      <w:r>
        <w:rPr>
          <w:sz w:val="20"/>
          <w:szCs w:val="20"/>
          <w:lang w:val="es-ES_tradnl"/>
        </w:rPr>
        <w:t>sus</w:t>
      </w:r>
      <w:r w:rsidR="00BF3183">
        <w:rPr>
          <w:sz w:val="20"/>
          <w:szCs w:val="20"/>
          <w:lang w:val="es-ES_tradnl"/>
        </w:rPr>
        <w:t xml:space="preserve"> principales ajustes contempló la creación de 3 Escuelas, </w:t>
      </w:r>
      <w:r>
        <w:rPr>
          <w:sz w:val="20"/>
          <w:szCs w:val="20"/>
          <w:lang w:val="es-ES_tradnl"/>
        </w:rPr>
        <w:t>las que fueron implementadas durante el segundo semestre del año 2024. Ellas</w:t>
      </w:r>
      <w:r w:rsidR="00BF3183">
        <w:rPr>
          <w:sz w:val="20"/>
          <w:szCs w:val="20"/>
          <w:lang w:val="es-ES_tradnl"/>
        </w:rPr>
        <w:t xml:space="preserve"> agrupan un número de carreras afines </w:t>
      </w:r>
      <w:r>
        <w:rPr>
          <w:sz w:val="20"/>
          <w:szCs w:val="20"/>
          <w:lang w:val="es-ES_tradnl"/>
        </w:rPr>
        <w:t xml:space="preserve">y tienen </w:t>
      </w:r>
      <w:r w:rsidR="00BF3183">
        <w:rPr>
          <w:sz w:val="20"/>
          <w:szCs w:val="20"/>
          <w:lang w:val="es-ES_tradnl"/>
        </w:rPr>
        <w:t>un tamaño homogéneo en cuanto al número de estudiantes</w:t>
      </w:r>
      <w:r>
        <w:rPr>
          <w:sz w:val="20"/>
          <w:szCs w:val="20"/>
          <w:lang w:val="es-ES_tradnl"/>
        </w:rPr>
        <w:t xml:space="preserve">; cada una es liderada por un-a </w:t>
      </w:r>
      <w:proofErr w:type="gramStart"/>
      <w:r>
        <w:rPr>
          <w:sz w:val="20"/>
          <w:szCs w:val="20"/>
          <w:lang w:val="es-ES_tradnl"/>
        </w:rPr>
        <w:t>Director</w:t>
      </w:r>
      <w:proofErr w:type="gramEnd"/>
      <w:r>
        <w:rPr>
          <w:sz w:val="20"/>
          <w:szCs w:val="20"/>
          <w:lang w:val="es-ES_tradnl"/>
        </w:rPr>
        <w:t>-a de Escuela, y dichos cargos fueron</w:t>
      </w:r>
      <w:r w:rsidR="00BF3183">
        <w:rPr>
          <w:sz w:val="20"/>
          <w:szCs w:val="20"/>
          <w:lang w:val="es-ES_tradnl"/>
        </w:rPr>
        <w:t xml:space="preserve"> asumid</w:t>
      </w:r>
      <w:r>
        <w:rPr>
          <w:sz w:val="20"/>
          <w:szCs w:val="20"/>
          <w:lang w:val="es-ES_tradnl"/>
        </w:rPr>
        <w:t>o</w:t>
      </w:r>
      <w:r w:rsidR="00BF3183">
        <w:rPr>
          <w:sz w:val="20"/>
          <w:szCs w:val="20"/>
          <w:lang w:val="es-ES_tradnl"/>
        </w:rPr>
        <w:t xml:space="preserve">s por académicos </w:t>
      </w:r>
      <w:r>
        <w:rPr>
          <w:sz w:val="20"/>
          <w:szCs w:val="20"/>
          <w:lang w:val="es-ES_tradnl"/>
        </w:rPr>
        <w:t>de carreras afines que ejercían roles de jefes de carrera</w:t>
      </w:r>
      <w:r w:rsidR="00BF3183">
        <w:rPr>
          <w:sz w:val="20"/>
          <w:szCs w:val="20"/>
          <w:lang w:val="es-ES_tradnl"/>
        </w:rPr>
        <w:t>.</w:t>
      </w:r>
      <w:r>
        <w:rPr>
          <w:sz w:val="20"/>
          <w:szCs w:val="20"/>
          <w:lang w:val="es-ES_tradnl"/>
        </w:rPr>
        <w:t xml:space="preserve"> Esta configuración permitirá fortalecer la gestión del Instituto.</w:t>
      </w:r>
    </w:p>
    <w:p w14:paraId="19629118" w14:textId="77777777" w:rsidR="0032164B" w:rsidRDefault="0032164B" w:rsidP="00BF3183">
      <w:pPr>
        <w:jc w:val="both"/>
        <w:rPr>
          <w:sz w:val="20"/>
          <w:szCs w:val="20"/>
          <w:lang w:val="es-ES_tradnl"/>
        </w:rPr>
      </w:pPr>
    </w:p>
    <w:p w14:paraId="36CD5EB7" w14:textId="181B7F0B" w:rsidR="00BF3183" w:rsidRDefault="0032164B" w:rsidP="00BF3183">
      <w:pPr>
        <w:jc w:val="both"/>
        <w:rPr>
          <w:sz w:val="20"/>
          <w:szCs w:val="20"/>
          <w:lang w:val="es-ES_tradnl"/>
        </w:rPr>
      </w:pPr>
      <w:r w:rsidRPr="00BF3183">
        <w:rPr>
          <w:sz w:val="20"/>
          <w:szCs w:val="20"/>
          <w:lang w:val="es-ES_tradnl"/>
        </w:rPr>
        <w:t xml:space="preserve">A continuación, se presenta una revisión </w:t>
      </w:r>
      <w:r>
        <w:rPr>
          <w:sz w:val="20"/>
          <w:szCs w:val="20"/>
          <w:lang w:val="es-ES_tradnl"/>
        </w:rPr>
        <w:t xml:space="preserve">del número de </w:t>
      </w:r>
      <w:r w:rsidRPr="00BF3183">
        <w:rPr>
          <w:sz w:val="20"/>
          <w:szCs w:val="20"/>
          <w:lang w:val="es-ES_tradnl"/>
        </w:rPr>
        <w:t>funcionarios académicos y administrativos contratados hasta enero de 202</w:t>
      </w:r>
      <w:r>
        <w:rPr>
          <w:sz w:val="20"/>
          <w:szCs w:val="20"/>
          <w:lang w:val="es-ES_tradnl"/>
        </w:rPr>
        <w:t>5,</w:t>
      </w:r>
      <w:r w:rsidRPr="00BF3183">
        <w:rPr>
          <w:sz w:val="20"/>
          <w:szCs w:val="20"/>
          <w:lang w:val="es-ES_tradnl"/>
        </w:rPr>
        <w:t xml:space="preserve"> o en proceso de contratación</w:t>
      </w:r>
      <w:r>
        <w:rPr>
          <w:sz w:val="20"/>
          <w:szCs w:val="20"/>
          <w:lang w:val="es-ES_tradnl"/>
        </w:rPr>
        <w:t>, para cada Escuela-Sede en el Instituto tecnológico de la UCSC. Se consideró para el análisis, el número de estudiantes matriculados a diciembre de 2024;</w:t>
      </w:r>
      <w:r w:rsidRPr="00BF3183">
        <w:rPr>
          <w:sz w:val="20"/>
          <w:szCs w:val="20"/>
          <w:lang w:val="es-ES_tradnl"/>
        </w:rPr>
        <w:t xml:space="preserve"> </w:t>
      </w:r>
      <w:r>
        <w:rPr>
          <w:sz w:val="20"/>
          <w:szCs w:val="20"/>
          <w:lang w:val="es-ES_tradnl"/>
        </w:rPr>
        <w:t xml:space="preserve">el número de personas con contrato de académicos y su equivalencia en jornadas completas (JC) contratadas de planta efectiva en cada escuela-sede, para definir </w:t>
      </w:r>
      <w:proofErr w:type="gramStart"/>
      <w:r>
        <w:rPr>
          <w:sz w:val="20"/>
          <w:szCs w:val="20"/>
          <w:lang w:val="es-ES_tradnl"/>
        </w:rPr>
        <w:t>un ratio</w:t>
      </w:r>
      <w:proofErr w:type="gramEnd"/>
      <w:r>
        <w:rPr>
          <w:sz w:val="20"/>
          <w:szCs w:val="20"/>
          <w:lang w:val="es-ES_tradnl"/>
        </w:rPr>
        <w:t xml:space="preserve"> de estudiantes por académicos, que permita evaluar, proyectar y priorizar las necesidades de académicos.  Finalmente</w:t>
      </w:r>
      <w:r w:rsidR="00BF3183">
        <w:rPr>
          <w:sz w:val="20"/>
          <w:szCs w:val="20"/>
          <w:lang w:val="es-ES_tradnl"/>
        </w:rPr>
        <w:t xml:space="preserve">, se presenta un resumen de funcionarios </w:t>
      </w:r>
      <w:r>
        <w:rPr>
          <w:sz w:val="20"/>
          <w:szCs w:val="20"/>
          <w:lang w:val="es-ES_tradnl"/>
        </w:rPr>
        <w:t>académicos y administrativos por cada una de las sedes del Instituto Tecnológico.</w:t>
      </w:r>
    </w:p>
    <w:p w14:paraId="24B576C3" w14:textId="360A3C5A" w:rsidR="00BF3183" w:rsidRPr="00BF3183" w:rsidRDefault="00BF3183" w:rsidP="00BF3183">
      <w:pPr>
        <w:jc w:val="both"/>
        <w:rPr>
          <w:sz w:val="20"/>
          <w:szCs w:val="20"/>
          <w:lang w:val="es-ES_tradnl"/>
        </w:rPr>
      </w:pPr>
    </w:p>
    <w:p w14:paraId="7CA9D29D" w14:textId="77777777" w:rsidR="00BF3183" w:rsidRDefault="00BF3183" w:rsidP="00BF3183">
      <w:pPr>
        <w:jc w:val="both"/>
        <w:rPr>
          <w:b/>
          <w:bCs/>
          <w:sz w:val="20"/>
          <w:szCs w:val="20"/>
          <w:u w:val="single"/>
          <w:lang w:val="es-ES_tradnl"/>
        </w:rPr>
      </w:pPr>
    </w:p>
    <w:p w14:paraId="436B62F1" w14:textId="09FF113D" w:rsidR="00BF3183" w:rsidRPr="00BF3183" w:rsidRDefault="00BF3183" w:rsidP="00BF3183">
      <w:pPr>
        <w:jc w:val="both"/>
        <w:rPr>
          <w:b/>
          <w:bCs/>
          <w:sz w:val="20"/>
          <w:szCs w:val="20"/>
          <w:u w:val="single"/>
          <w:lang w:val="es-ES_tradnl"/>
        </w:rPr>
      </w:pPr>
      <w:r w:rsidRPr="00BF3183">
        <w:rPr>
          <w:b/>
          <w:bCs/>
          <w:sz w:val="20"/>
          <w:szCs w:val="20"/>
          <w:u w:val="single"/>
          <w:lang w:val="es-ES_tradnl"/>
        </w:rPr>
        <w:t xml:space="preserve">Distribución de académicos por </w:t>
      </w:r>
      <w:r w:rsidR="0032164B">
        <w:rPr>
          <w:b/>
          <w:bCs/>
          <w:sz w:val="20"/>
          <w:szCs w:val="20"/>
          <w:u w:val="single"/>
          <w:lang w:val="es-ES_tradnl"/>
        </w:rPr>
        <w:t>E</w:t>
      </w:r>
      <w:r w:rsidRPr="00BF3183">
        <w:rPr>
          <w:b/>
          <w:bCs/>
          <w:sz w:val="20"/>
          <w:szCs w:val="20"/>
          <w:u w:val="single"/>
          <w:lang w:val="es-ES_tradnl"/>
        </w:rPr>
        <w:t>scuela-</w:t>
      </w:r>
      <w:r w:rsidR="0032164B">
        <w:rPr>
          <w:b/>
          <w:bCs/>
          <w:sz w:val="20"/>
          <w:szCs w:val="20"/>
          <w:u w:val="single"/>
          <w:lang w:val="es-ES_tradnl"/>
        </w:rPr>
        <w:t>S</w:t>
      </w:r>
      <w:r w:rsidRPr="00BF3183">
        <w:rPr>
          <w:b/>
          <w:bCs/>
          <w:sz w:val="20"/>
          <w:szCs w:val="20"/>
          <w:u w:val="single"/>
          <w:lang w:val="es-ES_tradnl"/>
        </w:rPr>
        <w:t xml:space="preserve">ede </w:t>
      </w:r>
    </w:p>
    <w:p w14:paraId="3F893339" w14:textId="77777777" w:rsidR="00BF3183" w:rsidRPr="00BF3183" w:rsidRDefault="00BF3183">
      <w:pPr>
        <w:rPr>
          <w:sz w:val="20"/>
          <w:szCs w:val="20"/>
          <w:lang w:val="es-ES_tradnl"/>
        </w:rPr>
      </w:pPr>
    </w:p>
    <w:p w14:paraId="29604154" w14:textId="61C628EC" w:rsidR="00BF3183" w:rsidRDefault="008264B5" w:rsidP="00F16DE8">
      <w:pPr>
        <w:jc w:val="both"/>
        <w:rPr>
          <w:sz w:val="20"/>
          <w:szCs w:val="20"/>
          <w:lang w:val="es-ES_tradnl"/>
        </w:rPr>
      </w:pPr>
      <w:r w:rsidRPr="008264B5">
        <w:rPr>
          <w:sz w:val="20"/>
          <w:szCs w:val="20"/>
          <w:lang w:val="es-ES_tradnl"/>
        </w:rPr>
        <w:t>En sus 4 sedes, el Instituto Tecnológico, cuenta con académicos contratados en formato indefinido en cada una de las escuela</w:t>
      </w:r>
      <w:r w:rsidR="00BF3183">
        <w:rPr>
          <w:sz w:val="20"/>
          <w:szCs w:val="20"/>
          <w:lang w:val="es-ES_tradnl"/>
        </w:rPr>
        <w:t>s y en las distintas carreras que se ofrecen</w:t>
      </w:r>
      <w:r w:rsidRPr="008264B5">
        <w:rPr>
          <w:sz w:val="20"/>
          <w:szCs w:val="20"/>
          <w:lang w:val="es-ES_tradnl"/>
        </w:rPr>
        <w:t xml:space="preserve">, sumando un total de </w:t>
      </w:r>
      <w:r>
        <w:rPr>
          <w:sz w:val="20"/>
          <w:szCs w:val="20"/>
          <w:lang w:val="es-ES_tradnl"/>
        </w:rPr>
        <w:t xml:space="preserve">53 personas </w:t>
      </w:r>
      <w:r w:rsidRPr="008264B5">
        <w:rPr>
          <w:sz w:val="20"/>
          <w:szCs w:val="20"/>
          <w:lang w:val="es-ES_tradnl"/>
        </w:rPr>
        <w:t>cuya</w:t>
      </w:r>
      <w:r w:rsidR="00BF3183">
        <w:rPr>
          <w:sz w:val="20"/>
          <w:szCs w:val="20"/>
          <w:lang w:val="es-ES_tradnl"/>
        </w:rPr>
        <w:t xml:space="preserve"> equivalencia en jornadas completas (JC) es de 30,5</w:t>
      </w:r>
      <w:r w:rsidR="0032164B">
        <w:rPr>
          <w:sz w:val="20"/>
          <w:szCs w:val="20"/>
          <w:lang w:val="es-ES_tradnl"/>
        </w:rPr>
        <w:t>(Tabla N°3)</w:t>
      </w:r>
      <w:r w:rsidR="00BF3183">
        <w:rPr>
          <w:sz w:val="20"/>
          <w:szCs w:val="20"/>
          <w:lang w:val="es-ES_tradnl"/>
        </w:rPr>
        <w:t>.</w:t>
      </w:r>
    </w:p>
    <w:p w14:paraId="0E85F4A3" w14:textId="77777777" w:rsidR="002D5D32" w:rsidRDefault="002D5D32" w:rsidP="00F16DE8">
      <w:pPr>
        <w:jc w:val="both"/>
        <w:rPr>
          <w:sz w:val="20"/>
          <w:szCs w:val="20"/>
          <w:lang w:val="es-ES_tradnl"/>
        </w:rPr>
      </w:pPr>
    </w:p>
    <w:p w14:paraId="5394C1E2" w14:textId="77777777" w:rsidR="002D5D32" w:rsidRDefault="002D5D32" w:rsidP="00F16DE8">
      <w:pPr>
        <w:jc w:val="both"/>
        <w:rPr>
          <w:sz w:val="20"/>
          <w:szCs w:val="20"/>
          <w:lang w:val="es-ES_tradnl"/>
        </w:rPr>
      </w:pPr>
    </w:p>
    <w:p w14:paraId="5F1CCADF" w14:textId="3A6EE9A8" w:rsidR="002D5D32" w:rsidRDefault="002D5D32" w:rsidP="00F16DE8">
      <w:pPr>
        <w:jc w:val="both"/>
        <w:rPr>
          <w:sz w:val="20"/>
          <w:szCs w:val="20"/>
          <w:lang w:val="es-ES_tradnl"/>
        </w:rPr>
      </w:pPr>
      <w:r w:rsidRPr="002D5D32">
        <w:rPr>
          <w:noProof/>
          <w:sz w:val="20"/>
          <w:szCs w:val="20"/>
          <w:lang w:val="es-ES_tradnl"/>
        </w:rPr>
        <w:drawing>
          <wp:inline distT="0" distB="0" distL="0" distR="0" wp14:anchorId="4C06947E" wp14:editId="2046DDA2">
            <wp:extent cx="5612130" cy="784225"/>
            <wp:effectExtent l="0" t="0" r="1270" b="3175"/>
            <wp:docPr id="1764310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0801" name=""/>
                    <pic:cNvPicPr/>
                  </pic:nvPicPr>
                  <pic:blipFill>
                    <a:blip r:embed="rId8"/>
                    <a:stretch>
                      <a:fillRect/>
                    </a:stretch>
                  </pic:blipFill>
                  <pic:spPr>
                    <a:xfrm>
                      <a:off x="0" y="0"/>
                      <a:ext cx="5612130" cy="784225"/>
                    </a:xfrm>
                    <a:prstGeom prst="rect">
                      <a:avLst/>
                    </a:prstGeom>
                  </pic:spPr>
                </pic:pic>
              </a:graphicData>
            </a:graphic>
          </wp:inline>
        </w:drawing>
      </w:r>
    </w:p>
    <w:p w14:paraId="41B6D9B4" w14:textId="30A1CE94" w:rsidR="00BF3183" w:rsidRDefault="002D5D32" w:rsidP="00F16DE8">
      <w:pPr>
        <w:jc w:val="both"/>
        <w:rPr>
          <w:sz w:val="16"/>
          <w:szCs w:val="16"/>
          <w:lang w:val="es-ES_tradnl"/>
        </w:rPr>
      </w:pPr>
      <w:r w:rsidRPr="002D5D32">
        <w:rPr>
          <w:sz w:val="16"/>
          <w:szCs w:val="16"/>
          <w:lang w:val="es-ES_tradnl"/>
        </w:rPr>
        <w:t>Tabla N°1</w:t>
      </w:r>
    </w:p>
    <w:p w14:paraId="39F85C2A" w14:textId="77777777" w:rsidR="002D5D32" w:rsidRDefault="002D5D32" w:rsidP="00F16DE8">
      <w:pPr>
        <w:jc w:val="both"/>
        <w:rPr>
          <w:sz w:val="16"/>
          <w:szCs w:val="16"/>
          <w:lang w:val="es-ES_tradnl"/>
        </w:rPr>
      </w:pPr>
    </w:p>
    <w:p w14:paraId="4A24D823" w14:textId="77777777" w:rsidR="002D5D32" w:rsidRPr="002D5D32" w:rsidRDefault="002D5D32" w:rsidP="00F16DE8">
      <w:pPr>
        <w:jc w:val="both"/>
        <w:rPr>
          <w:sz w:val="16"/>
          <w:szCs w:val="16"/>
          <w:lang w:val="es-ES_tradnl"/>
        </w:rPr>
      </w:pPr>
    </w:p>
    <w:p w14:paraId="5CDBD12D" w14:textId="7CFF680E" w:rsidR="00BF3183" w:rsidRDefault="00BF3183" w:rsidP="00F16DE8">
      <w:pPr>
        <w:jc w:val="both"/>
        <w:rPr>
          <w:sz w:val="20"/>
          <w:szCs w:val="20"/>
          <w:lang w:val="es-ES_tradnl"/>
        </w:rPr>
      </w:pPr>
      <w:r>
        <w:rPr>
          <w:sz w:val="20"/>
          <w:szCs w:val="20"/>
          <w:lang w:val="es-ES_tradnl"/>
        </w:rPr>
        <w:t xml:space="preserve">El año 2024, 10 académicos tomaron posiciones directivas o de gestión académica, que en cada sede- escuela significó una reducción en la dedicación exclusiva a las funciones académicas, que se resume </w:t>
      </w:r>
      <w:r w:rsidR="0032164B">
        <w:rPr>
          <w:sz w:val="20"/>
          <w:szCs w:val="20"/>
          <w:lang w:val="es-ES_tradnl"/>
        </w:rPr>
        <w:t>en la Tabla N°2</w:t>
      </w:r>
      <w:r>
        <w:rPr>
          <w:sz w:val="20"/>
          <w:szCs w:val="20"/>
          <w:lang w:val="es-ES_tradnl"/>
        </w:rPr>
        <w:t>:</w:t>
      </w:r>
    </w:p>
    <w:p w14:paraId="5CEE52D7" w14:textId="6B9C92FE" w:rsidR="00BF3183" w:rsidRDefault="00BF3183" w:rsidP="00F16DE8">
      <w:pPr>
        <w:jc w:val="both"/>
        <w:rPr>
          <w:sz w:val="20"/>
          <w:szCs w:val="20"/>
          <w:lang w:val="es-ES_tradnl"/>
        </w:rPr>
      </w:pPr>
    </w:p>
    <w:p w14:paraId="41796D83" w14:textId="59B14BA5" w:rsidR="002D5D32" w:rsidRDefault="002D5D32" w:rsidP="00F16DE8">
      <w:pPr>
        <w:jc w:val="both"/>
        <w:rPr>
          <w:sz w:val="20"/>
          <w:szCs w:val="20"/>
          <w:lang w:val="es-ES_tradnl"/>
        </w:rPr>
      </w:pPr>
    </w:p>
    <w:p w14:paraId="47536FD2" w14:textId="0BECBA56" w:rsidR="00BF3183" w:rsidRDefault="002D5D32" w:rsidP="00F16DE8">
      <w:pPr>
        <w:jc w:val="both"/>
        <w:rPr>
          <w:sz w:val="20"/>
          <w:szCs w:val="20"/>
          <w:lang w:val="es-ES_tradnl"/>
        </w:rPr>
      </w:pPr>
      <w:r w:rsidRPr="002D5D32">
        <w:rPr>
          <w:noProof/>
          <w:sz w:val="20"/>
          <w:szCs w:val="20"/>
          <w:lang w:val="es-ES_tradnl"/>
        </w:rPr>
        <w:drawing>
          <wp:inline distT="0" distB="0" distL="0" distR="0" wp14:anchorId="13B51C48" wp14:editId="0150EDAB">
            <wp:extent cx="5612130" cy="784225"/>
            <wp:effectExtent l="0" t="0" r="1270" b="3175"/>
            <wp:docPr id="1780410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10179" name=""/>
                    <pic:cNvPicPr/>
                  </pic:nvPicPr>
                  <pic:blipFill>
                    <a:blip r:embed="rId9"/>
                    <a:stretch>
                      <a:fillRect/>
                    </a:stretch>
                  </pic:blipFill>
                  <pic:spPr>
                    <a:xfrm>
                      <a:off x="0" y="0"/>
                      <a:ext cx="5612130" cy="784225"/>
                    </a:xfrm>
                    <a:prstGeom prst="rect">
                      <a:avLst/>
                    </a:prstGeom>
                  </pic:spPr>
                </pic:pic>
              </a:graphicData>
            </a:graphic>
          </wp:inline>
        </w:drawing>
      </w:r>
    </w:p>
    <w:p w14:paraId="52C58E9A" w14:textId="612EFEBA" w:rsidR="002D5D32" w:rsidRPr="002D5D32" w:rsidRDefault="002D5D32">
      <w:pPr>
        <w:rPr>
          <w:sz w:val="16"/>
          <w:szCs w:val="16"/>
          <w:lang w:val="es-ES_tradnl"/>
        </w:rPr>
      </w:pPr>
      <w:r w:rsidRPr="002D5D32">
        <w:rPr>
          <w:sz w:val="16"/>
          <w:szCs w:val="16"/>
          <w:lang w:val="es-ES_tradnl"/>
        </w:rPr>
        <w:t>Tabla N°2</w:t>
      </w:r>
    </w:p>
    <w:p w14:paraId="321AAFBA" w14:textId="77777777" w:rsidR="002D5D32" w:rsidRDefault="002D5D32">
      <w:pPr>
        <w:rPr>
          <w:sz w:val="20"/>
          <w:szCs w:val="20"/>
          <w:lang w:val="es-ES_tradnl"/>
        </w:rPr>
      </w:pPr>
    </w:p>
    <w:p w14:paraId="1BD56B3E" w14:textId="77777777" w:rsidR="002D5D32" w:rsidRDefault="002D5D32">
      <w:pPr>
        <w:rPr>
          <w:sz w:val="20"/>
          <w:szCs w:val="20"/>
          <w:lang w:val="es-ES_tradnl"/>
        </w:rPr>
      </w:pPr>
    </w:p>
    <w:p w14:paraId="54CDAAE1" w14:textId="76588CE7" w:rsidR="00BF3183" w:rsidRDefault="002D5D32" w:rsidP="0032164B">
      <w:pPr>
        <w:jc w:val="both"/>
        <w:rPr>
          <w:sz w:val="20"/>
          <w:szCs w:val="20"/>
          <w:lang w:val="es-ES_tradnl"/>
        </w:rPr>
      </w:pPr>
      <w:r>
        <w:rPr>
          <w:sz w:val="20"/>
          <w:szCs w:val="20"/>
          <w:lang w:val="es-ES_tradnl"/>
        </w:rPr>
        <w:t xml:space="preserve">Por otro </w:t>
      </w:r>
      <w:proofErr w:type="gramStart"/>
      <w:r>
        <w:rPr>
          <w:sz w:val="20"/>
          <w:szCs w:val="20"/>
          <w:lang w:val="es-ES_tradnl"/>
        </w:rPr>
        <w:t>lado</w:t>
      </w:r>
      <w:proofErr w:type="gramEnd"/>
      <w:r>
        <w:rPr>
          <w:sz w:val="20"/>
          <w:szCs w:val="20"/>
          <w:lang w:val="es-ES_tradnl"/>
        </w:rPr>
        <w:t xml:space="preserve"> y con el propósito de analizar </w:t>
      </w:r>
      <w:proofErr w:type="gramStart"/>
      <w:r>
        <w:rPr>
          <w:sz w:val="20"/>
          <w:szCs w:val="20"/>
          <w:lang w:val="es-ES_tradnl"/>
        </w:rPr>
        <w:t>el ratio correspondiente</w:t>
      </w:r>
      <w:proofErr w:type="gramEnd"/>
      <w:r>
        <w:rPr>
          <w:sz w:val="20"/>
          <w:szCs w:val="20"/>
          <w:lang w:val="es-ES_tradnl"/>
        </w:rPr>
        <w:t xml:space="preserve"> al número estudiantes atendidos por académicos JC, </w:t>
      </w:r>
      <w:r w:rsidR="0032164B">
        <w:rPr>
          <w:sz w:val="20"/>
          <w:szCs w:val="20"/>
          <w:lang w:val="es-ES_tradnl"/>
        </w:rPr>
        <w:t>la T</w:t>
      </w:r>
      <w:r w:rsidR="00BF3183">
        <w:rPr>
          <w:sz w:val="20"/>
          <w:szCs w:val="20"/>
          <w:lang w:val="es-ES_tradnl"/>
        </w:rPr>
        <w:t>abla</w:t>
      </w:r>
      <w:r w:rsidR="0032164B">
        <w:rPr>
          <w:sz w:val="20"/>
          <w:szCs w:val="20"/>
          <w:lang w:val="es-ES_tradnl"/>
        </w:rPr>
        <w:t>N°3 muestra</w:t>
      </w:r>
      <w:r>
        <w:rPr>
          <w:sz w:val="20"/>
          <w:szCs w:val="20"/>
          <w:lang w:val="es-ES_tradnl"/>
        </w:rPr>
        <w:t xml:space="preserve"> la </w:t>
      </w:r>
      <w:r w:rsidR="00BF3183">
        <w:rPr>
          <w:sz w:val="20"/>
          <w:szCs w:val="20"/>
          <w:lang w:val="es-ES_tradnl"/>
        </w:rPr>
        <w:t>cantidad de estudiantes, académicos jornadas completas</w:t>
      </w:r>
      <w:r>
        <w:rPr>
          <w:sz w:val="20"/>
          <w:szCs w:val="20"/>
          <w:lang w:val="es-ES_tradnl"/>
        </w:rPr>
        <w:t xml:space="preserve">, académicos </w:t>
      </w:r>
      <w:r>
        <w:rPr>
          <w:sz w:val="20"/>
          <w:szCs w:val="20"/>
          <w:lang w:val="es-ES_tradnl"/>
        </w:rPr>
        <w:lastRenderedPageBreak/>
        <w:t xml:space="preserve">con dedicación </w:t>
      </w:r>
      <w:r w:rsidR="00BF3183">
        <w:rPr>
          <w:sz w:val="20"/>
          <w:szCs w:val="20"/>
          <w:lang w:val="es-ES_tradnl"/>
        </w:rPr>
        <w:t xml:space="preserve">exclusiva, </w:t>
      </w:r>
      <w:proofErr w:type="gramStart"/>
      <w:r w:rsidR="00BF3183">
        <w:rPr>
          <w:sz w:val="20"/>
          <w:szCs w:val="20"/>
          <w:lang w:val="es-ES_tradnl"/>
        </w:rPr>
        <w:t>a</w:t>
      </w:r>
      <w:r>
        <w:rPr>
          <w:sz w:val="20"/>
          <w:szCs w:val="20"/>
          <w:lang w:val="es-ES_tradnl"/>
        </w:rPr>
        <w:t>ca</w:t>
      </w:r>
      <w:r w:rsidR="00BF3183">
        <w:rPr>
          <w:sz w:val="20"/>
          <w:szCs w:val="20"/>
          <w:lang w:val="es-ES_tradnl"/>
        </w:rPr>
        <w:t>démicos</w:t>
      </w:r>
      <w:r>
        <w:rPr>
          <w:sz w:val="20"/>
          <w:szCs w:val="20"/>
          <w:lang w:val="es-ES_tradnl"/>
        </w:rPr>
        <w:t xml:space="preserve"> </w:t>
      </w:r>
      <w:r w:rsidR="00BF3183">
        <w:rPr>
          <w:sz w:val="20"/>
          <w:szCs w:val="20"/>
          <w:lang w:val="es-ES_tradnl"/>
        </w:rPr>
        <w:t xml:space="preserve"> </w:t>
      </w:r>
      <w:r>
        <w:rPr>
          <w:sz w:val="20"/>
          <w:szCs w:val="20"/>
          <w:lang w:val="es-ES_tradnl"/>
        </w:rPr>
        <w:t>JC</w:t>
      </w:r>
      <w:proofErr w:type="gramEnd"/>
      <w:r>
        <w:rPr>
          <w:sz w:val="20"/>
          <w:szCs w:val="20"/>
          <w:lang w:val="es-ES_tradnl"/>
        </w:rPr>
        <w:t xml:space="preserve"> </w:t>
      </w:r>
      <w:r w:rsidR="00BF3183">
        <w:rPr>
          <w:sz w:val="20"/>
          <w:szCs w:val="20"/>
          <w:lang w:val="es-ES_tradnl"/>
        </w:rPr>
        <w:t>proyectados</w:t>
      </w:r>
      <w:r>
        <w:rPr>
          <w:sz w:val="20"/>
          <w:szCs w:val="20"/>
          <w:lang w:val="es-ES_tradnl"/>
        </w:rPr>
        <w:t xml:space="preserve"> y finalmente la brecha resultante, </w:t>
      </w:r>
      <w:r w:rsidR="0032164B">
        <w:rPr>
          <w:sz w:val="20"/>
          <w:szCs w:val="20"/>
          <w:lang w:val="es-ES_tradnl"/>
        </w:rPr>
        <w:t>que proyecta el indicador con fines de equivalencia.</w:t>
      </w:r>
    </w:p>
    <w:p w14:paraId="745BD263" w14:textId="77777777" w:rsidR="002D5D32" w:rsidRDefault="002D5D32" w:rsidP="0032164B">
      <w:pPr>
        <w:jc w:val="both"/>
        <w:rPr>
          <w:sz w:val="20"/>
          <w:szCs w:val="20"/>
          <w:lang w:val="es-ES_tradnl"/>
        </w:rPr>
      </w:pPr>
    </w:p>
    <w:p w14:paraId="66F6C752" w14:textId="31EF9FED" w:rsidR="002D5D32" w:rsidRDefault="002D5D32">
      <w:pPr>
        <w:rPr>
          <w:sz w:val="20"/>
          <w:szCs w:val="20"/>
          <w:lang w:val="es-ES_tradnl"/>
        </w:rPr>
      </w:pPr>
      <w:r w:rsidRPr="002D5D32">
        <w:rPr>
          <w:noProof/>
          <w:sz w:val="20"/>
          <w:szCs w:val="20"/>
          <w:lang w:val="es-ES_tradnl"/>
        </w:rPr>
        <w:drawing>
          <wp:inline distT="0" distB="0" distL="0" distR="0" wp14:anchorId="50D70CDB" wp14:editId="7D099864">
            <wp:extent cx="5612130" cy="1936296"/>
            <wp:effectExtent l="0" t="0" r="1270" b="0"/>
            <wp:docPr id="740950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50522" name=""/>
                    <pic:cNvPicPr/>
                  </pic:nvPicPr>
                  <pic:blipFill>
                    <a:blip r:embed="rId10"/>
                    <a:stretch>
                      <a:fillRect/>
                    </a:stretch>
                  </pic:blipFill>
                  <pic:spPr>
                    <a:xfrm>
                      <a:off x="0" y="0"/>
                      <a:ext cx="5649992" cy="1949359"/>
                    </a:xfrm>
                    <a:prstGeom prst="rect">
                      <a:avLst/>
                    </a:prstGeom>
                  </pic:spPr>
                </pic:pic>
              </a:graphicData>
            </a:graphic>
          </wp:inline>
        </w:drawing>
      </w:r>
    </w:p>
    <w:p w14:paraId="28FD0A81" w14:textId="2FC895C9" w:rsidR="00BF3183" w:rsidRPr="002D5D32" w:rsidRDefault="002D5D32">
      <w:pPr>
        <w:rPr>
          <w:sz w:val="16"/>
          <w:szCs w:val="16"/>
          <w:lang w:val="es-ES_tradnl"/>
        </w:rPr>
      </w:pPr>
      <w:r w:rsidRPr="002D5D32">
        <w:rPr>
          <w:sz w:val="16"/>
          <w:szCs w:val="16"/>
          <w:lang w:val="es-ES_tradnl"/>
        </w:rPr>
        <w:t>Tabla N°3</w:t>
      </w:r>
    </w:p>
    <w:p w14:paraId="3D1C5FBF" w14:textId="77777777" w:rsidR="00F16DE8" w:rsidRPr="00F16DE8" w:rsidRDefault="00F16DE8">
      <w:pPr>
        <w:rPr>
          <w:sz w:val="18"/>
          <w:szCs w:val="18"/>
          <w:lang w:val="es-ES_tradnl"/>
        </w:rPr>
      </w:pPr>
    </w:p>
    <w:p w14:paraId="05896625" w14:textId="7865621B" w:rsidR="00F16DE8" w:rsidRDefault="002D5D32" w:rsidP="00F16DE8">
      <w:pPr>
        <w:jc w:val="both"/>
        <w:rPr>
          <w:sz w:val="20"/>
          <w:szCs w:val="20"/>
        </w:rPr>
      </w:pPr>
      <w:r>
        <w:rPr>
          <w:sz w:val="20"/>
          <w:szCs w:val="20"/>
        </w:rPr>
        <w:t xml:space="preserve">Considerando la cantidad de estudiantes por académicos con dedicación exclusiva, que corresponde al número real de estudiantes atendidos por cada académico, es posible destacar que en todas las sedes dicho indicador es alto en la escuela de </w:t>
      </w:r>
      <w:r w:rsidR="0032164B">
        <w:rPr>
          <w:sz w:val="20"/>
          <w:szCs w:val="20"/>
        </w:rPr>
        <w:t>S</w:t>
      </w:r>
      <w:r>
        <w:rPr>
          <w:sz w:val="20"/>
          <w:szCs w:val="20"/>
        </w:rPr>
        <w:t xml:space="preserve">alud y Educación; así también en la Escuela de Ingeniería y Procesos Industriales de </w:t>
      </w:r>
      <w:r w:rsidR="0032164B">
        <w:rPr>
          <w:sz w:val="20"/>
          <w:szCs w:val="20"/>
        </w:rPr>
        <w:t>Ca</w:t>
      </w:r>
      <w:r>
        <w:rPr>
          <w:sz w:val="20"/>
          <w:szCs w:val="20"/>
        </w:rPr>
        <w:t>ñete y Talcahuano</w:t>
      </w:r>
      <w:r w:rsidR="0032164B">
        <w:rPr>
          <w:sz w:val="20"/>
          <w:szCs w:val="20"/>
        </w:rPr>
        <w:t>; a</w:t>
      </w:r>
      <w:r>
        <w:rPr>
          <w:sz w:val="20"/>
          <w:szCs w:val="20"/>
        </w:rPr>
        <w:t>demás la Escuela de Administración y Servicios de Talcahuano.</w:t>
      </w:r>
    </w:p>
    <w:p w14:paraId="4B765C66" w14:textId="77777777" w:rsidR="002D5D32" w:rsidRDefault="002D5D32" w:rsidP="00F16DE8">
      <w:pPr>
        <w:jc w:val="both"/>
        <w:rPr>
          <w:sz w:val="20"/>
          <w:szCs w:val="20"/>
        </w:rPr>
      </w:pPr>
    </w:p>
    <w:p w14:paraId="1022E8ED" w14:textId="617A6F91" w:rsidR="002D5D32" w:rsidRDefault="002D5D32" w:rsidP="00F16DE8">
      <w:pPr>
        <w:jc w:val="both"/>
        <w:rPr>
          <w:sz w:val="20"/>
          <w:szCs w:val="20"/>
        </w:rPr>
      </w:pPr>
      <w:r>
        <w:rPr>
          <w:sz w:val="20"/>
          <w:szCs w:val="20"/>
        </w:rPr>
        <w:t xml:space="preserve">Si bien, la brecha definida, implica que para homologar el indicador entre las distintas escuelas y sedes, se requiere un </w:t>
      </w:r>
      <w:r w:rsidR="0032164B">
        <w:rPr>
          <w:sz w:val="20"/>
          <w:szCs w:val="20"/>
        </w:rPr>
        <w:t>incremento</w:t>
      </w:r>
      <w:r>
        <w:rPr>
          <w:sz w:val="20"/>
          <w:szCs w:val="20"/>
        </w:rPr>
        <w:t xml:space="preserve"> en el número de académicos, esto debe ser reevaluado una vez cerrado el proceso de matrículas e inscripción de ramos del primer semestre 2025, con las consideraciones antes mencionadas.</w:t>
      </w:r>
    </w:p>
    <w:p w14:paraId="2C307FB2" w14:textId="77777777" w:rsidR="002D5D32" w:rsidRPr="002D5D32" w:rsidRDefault="002D5D32" w:rsidP="00F16DE8">
      <w:pPr>
        <w:jc w:val="both"/>
        <w:rPr>
          <w:sz w:val="20"/>
          <w:szCs w:val="20"/>
        </w:rPr>
      </w:pPr>
    </w:p>
    <w:p w14:paraId="2C337A9C" w14:textId="387634F2" w:rsidR="00BF3183" w:rsidRPr="00BF3183" w:rsidRDefault="00BF3183" w:rsidP="00BF3183">
      <w:pPr>
        <w:jc w:val="both"/>
        <w:rPr>
          <w:b/>
          <w:bCs/>
          <w:sz w:val="20"/>
          <w:szCs w:val="20"/>
          <w:u w:val="single"/>
          <w:lang w:val="es-ES_tradnl"/>
        </w:rPr>
      </w:pPr>
      <w:r w:rsidRPr="00BF3183">
        <w:rPr>
          <w:b/>
          <w:bCs/>
          <w:sz w:val="20"/>
          <w:szCs w:val="20"/>
          <w:u w:val="single"/>
          <w:lang w:val="es-ES_tradnl"/>
        </w:rPr>
        <w:t>Distribución de académicos</w:t>
      </w:r>
      <w:r>
        <w:rPr>
          <w:b/>
          <w:bCs/>
          <w:sz w:val="20"/>
          <w:szCs w:val="20"/>
          <w:u w:val="single"/>
          <w:lang w:val="es-ES_tradnl"/>
        </w:rPr>
        <w:t xml:space="preserve"> y administrativos del IT</w:t>
      </w:r>
      <w:r w:rsidRPr="00BF3183">
        <w:rPr>
          <w:b/>
          <w:bCs/>
          <w:sz w:val="20"/>
          <w:szCs w:val="20"/>
          <w:u w:val="single"/>
          <w:lang w:val="es-ES_tradnl"/>
        </w:rPr>
        <w:t xml:space="preserve"> </w:t>
      </w:r>
    </w:p>
    <w:p w14:paraId="59280A72" w14:textId="037FA472" w:rsidR="00F16DE8" w:rsidRDefault="00F16DE8" w:rsidP="00F16DE8">
      <w:pPr>
        <w:jc w:val="both"/>
        <w:rPr>
          <w:sz w:val="20"/>
          <w:szCs w:val="20"/>
          <w:lang w:val="es-ES_tradnl"/>
        </w:rPr>
      </w:pPr>
    </w:p>
    <w:p w14:paraId="249AE4BE" w14:textId="3EA2E04A" w:rsidR="002D5D32" w:rsidRDefault="0032164B" w:rsidP="002D5D32">
      <w:pPr>
        <w:jc w:val="both"/>
        <w:rPr>
          <w:sz w:val="20"/>
          <w:szCs w:val="20"/>
          <w:lang w:val="es-ES_tradnl"/>
        </w:rPr>
      </w:pPr>
      <w:r>
        <w:rPr>
          <w:sz w:val="20"/>
          <w:szCs w:val="20"/>
          <w:lang w:val="es-ES_tradnl"/>
        </w:rPr>
        <w:t>En la TablaN°4 se resumen los cargos centrales, que corresponden a aquellos cargos que cumplen funciones para todo el IT, independiente de la ubicación física en que se encuentren. Ellos son 9 personas, equivalentes a 9,5 JC.</w:t>
      </w:r>
    </w:p>
    <w:p w14:paraId="49D01D32" w14:textId="77777777" w:rsidR="002D5D32" w:rsidRDefault="002D5D32" w:rsidP="002D5D32">
      <w:pPr>
        <w:jc w:val="both"/>
        <w:rPr>
          <w:sz w:val="20"/>
          <w:szCs w:val="20"/>
          <w:lang w:val="es-ES_tradnl"/>
        </w:rPr>
      </w:pPr>
    </w:p>
    <w:p w14:paraId="364A72C4" w14:textId="4DDA7236" w:rsidR="002D5D32" w:rsidRDefault="002D5D32" w:rsidP="002D5D32">
      <w:pPr>
        <w:jc w:val="both"/>
        <w:rPr>
          <w:sz w:val="20"/>
          <w:szCs w:val="20"/>
          <w:lang w:val="es-ES_tradnl"/>
        </w:rPr>
      </w:pPr>
      <w:r w:rsidRPr="002D5D32">
        <w:rPr>
          <w:noProof/>
          <w:sz w:val="20"/>
          <w:szCs w:val="20"/>
          <w:lang w:val="es-ES_tradnl"/>
        </w:rPr>
        <w:drawing>
          <wp:inline distT="0" distB="0" distL="0" distR="0" wp14:anchorId="505C4FFE" wp14:editId="0A91A8FB">
            <wp:extent cx="2627096" cy="1057093"/>
            <wp:effectExtent l="0" t="0" r="1905" b="0"/>
            <wp:docPr id="21386498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49847" name=""/>
                    <pic:cNvPicPr/>
                  </pic:nvPicPr>
                  <pic:blipFill>
                    <a:blip r:embed="rId11"/>
                    <a:stretch>
                      <a:fillRect/>
                    </a:stretch>
                  </pic:blipFill>
                  <pic:spPr>
                    <a:xfrm>
                      <a:off x="0" y="0"/>
                      <a:ext cx="2711358" cy="1090999"/>
                    </a:xfrm>
                    <a:prstGeom prst="rect">
                      <a:avLst/>
                    </a:prstGeom>
                  </pic:spPr>
                </pic:pic>
              </a:graphicData>
            </a:graphic>
          </wp:inline>
        </w:drawing>
      </w:r>
    </w:p>
    <w:p w14:paraId="08AC1C21" w14:textId="0C274D1E" w:rsidR="002D5D32" w:rsidRPr="0032164B" w:rsidRDefault="002D5D32" w:rsidP="00F16DE8">
      <w:pPr>
        <w:jc w:val="both"/>
        <w:rPr>
          <w:sz w:val="16"/>
          <w:szCs w:val="16"/>
          <w:lang w:val="es-ES_tradnl"/>
        </w:rPr>
      </w:pPr>
      <w:r w:rsidRPr="002D5D32">
        <w:rPr>
          <w:sz w:val="16"/>
          <w:szCs w:val="16"/>
          <w:lang w:val="es-ES_tradnl"/>
        </w:rPr>
        <w:t>Tabla N°4</w:t>
      </w:r>
      <w:r>
        <w:rPr>
          <w:sz w:val="20"/>
          <w:szCs w:val="20"/>
          <w:lang w:val="es-ES_tradnl"/>
        </w:rPr>
        <w:t>.</w:t>
      </w:r>
    </w:p>
    <w:p w14:paraId="1D161FD3" w14:textId="77777777" w:rsidR="002D5D32" w:rsidRDefault="002D5D32" w:rsidP="00F16DE8">
      <w:pPr>
        <w:jc w:val="both"/>
        <w:rPr>
          <w:sz w:val="20"/>
          <w:szCs w:val="20"/>
          <w:lang w:val="es-ES_tradnl"/>
        </w:rPr>
      </w:pPr>
    </w:p>
    <w:p w14:paraId="7EC13146" w14:textId="547338A5" w:rsidR="002D5D32" w:rsidRDefault="002D5D32" w:rsidP="00F16DE8">
      <w:pPr>
        <w:jc w:val="both"/>
        <w:rPr>
          <w:sz w:val="20"/>
          <w:szCs w:val="20"/>
          <w:lang w:val="es-ES_tradnl"/>
        </w:rPr>
      </w:pPr>
      <w:r>
        <w:rPr>
          <w:sz w:val="20"/>
          <w:szCs w:val="20"/>
          <w:lang w:val="es-ES_tradnl"/>
        </w:rPr>
        <w:t>Por otra parte,</w:t>
      </w:r>
      <w:r w:rsidR="0032164B">
        <w:rPr>
          <w:sz w:val="20"/>
          <w:szCs w:val="20"/>
          <w:lang w:val="es-ES_tradnl"/>
        </w:rPr>
        <w:t xml:space="preserve"> tal como se muestra en la Tabla N°5,</w:t>
      </w:r>
      <w:r>
        <w:rPr>
          <w:sz w:val="20"/>
          <w:szCs w:val="20"/>
          <w:lang w:val="es-ES_tradnl"/>
        </w:rPr>
        <w:t xml:space="preserve"> la distribución de personas en cada </w:t>
      </w:r>
      <w:proofErr w:type="gramStart"/>
      <w:r>
        <w:rPr>
          <w:sz w:val="20"/>
          <w:szCs w:val="20"/>
          <w:lang w:val="es-ES_tradnl"/>
        </w:rPr>
        <w:t>sede,</w:t>
      </w:r>
      <w:proofErr w:type="gramEnd"/>
      <w:r>
        <w:rPr>
          <w:sz w:val="20"/>
          <w:szCs w:val="20"/>
          <w:lang w:val="es-ES_tradnl"/>
        </w:rPr>
        <w:t xml:space="preserve"> muestra que la sede Cañete cuenta con mayor número, sin </w:t>
      </w:r>
      <w:proofErr w:type="gramStart"/>
      <w:r>
        <w:rPr>
          <w:sz w:val="20"/>
          <w:szCs w:val="20"/>
          <w:lang w:val="es-ES_tradnl"/>
        </w:rPr>
        <w:t>embargo</w:t>
      </w:r>
      <w:proofErr w:type="gramEnd"/>
      <w:r>
        <w:rPr>
          <w:sz w:val="20"/>
          <w:szCs w:val="20"/>
          <w:lang w:val="es-ES_tradnl"/>
        </w:rPr>
        <w:t xml:space="preserve"> el tipo de jornadas contratadas en varios casos es menor a 44. Por otro lado, la sede Talcahuano, que atiende a un mayor número de estudiantes que la sede Chillán cuenta con el mismo número de personas, pero su equivalente en JC es menor en el caso de Chillán.</w:t>
      </w:r>
    </w:p>
    <w:p w14:paraId="55D5F13E" w14:textId="77777777" w:rsidR="002D5D32" w:rsidRDefault="002D5D32" w:rsidP="00F16DE8">
      <w:pPr>
        <w:jc w:val="both"/>
        <w:rPr>
          <w:sz w:val="20"/>
          <w:szCs w:val="20"/>
          <w:lang w:val="es-ES_tradnl"/>
        </w:rPr>
      </w:pPr>
    </w:p>
    <w:p w14:paraId="638A4144" w14:textId="77777777" w:rsidR="002D5D32" w:rsidRPr="00F16DE8" w:rsidRDefault="002D5D32" w:rsidP="00F16DE8">
      <w:pPr>
        <w:jc w:val="both"/>
        <w:rPr>
          <w:sz w:val="20"/>
          <w:szCs w:val="20"/>
          <w:lang w:val="es-ES_tradnl"/>
        </w:rPr>
      </w:pPr>
    </w:p>
    <w:p w14:paraId="00263C12" w14:textId="77777777" w:rsidR="00F16DE8" w:rsidRDefault="00F16DE8" w:rsidP="00F16DE8">
      <w:pPr>
        <w:jc w:val="both"/>
        <w:rPr>
          <w:sz w:val="20"/>
          <w:szCs w:val="20"/>
          <w:lang w:val="es-ES_tradnl"/>
        </w:rPr>
      </w:pPr>
      <w:r w:rsidRPr="00F16DE8">
        <w:rPr>
          <w:noProof/>
          <w:lang w:val="es-ES_tradnl"/>
        </w:rPr>
        <w:lastRenderedPageBreak/>
        <w:drawing>
          <wp:inline distT="0" distB="0" distL="0" distR="0" wp14:anchorId="26CD41AF" wp14:editId="7A390449">
            <wp:extent cx="4852851" cy="992205"/>
            <wp:effectExtent l="0" t="0" r="0" b="0"/>
            <wp:docPr id="274242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42599" name=""/>
                    <pic:cNvPicPr/>
                  </pic:nvPicPr>
                  <pic:blipFill>
                    <a:blip r:embed="rId12"/>
                    <a:stretch>
                      <a:fillRect/>
                    </a:stretch>
                  </pic:blipFill>
                  <pic:spPr>
                    <a:xfrm>
                      <a:off x="0" y="0"/>
                      <a:ext cx="4947768" cy="1011612"/>
                    </a:xfrm>
                    <a:prstGeom prst="rect">
                      <a:avLst/>
                    </a:prstGeom>
                  </pic:spPr>
                </pic:pic>
              </a:graphicData>
            </a:graphic>
          </wp:inline>
        </w:drawing>
      </w:r>
      <w:r w:rsidRPr="00F16DE8">
        <w:rPr>
          <w:sz w:val="20"/>
          <w:szCs w:val="20"/>
          <w:lang w:val="es-ES_tradnl"/>
        </w:rPr>
        <w:t xml:space="preserve"> </w:t>
      </w:r>
    </w:p>
    <w:p w14:paraId="65E257A1" w14:textId="61C2702A" w:rsidR="00F16DE8" w:rsidRPr="002D5D32" w:rsidRDefault="002D5D32" w:rsidP="00F16DE8">
      <w:pPr>
        <w:jc w:val="both"/>
        <w:rPr>
          <w:sz w:val="16"/>
          <w:szCs w:val="16"/>
          <w:lang w:val="es-ES_tradnl"/>
        </w:rPr>
      </w:pPr>
      <w:r w:rsidRPr="002D5D32">
        <w:rPr>
          <w:sz w:val="16"/>
          <w:szCs w:val="16"/>
          <w:lang w:val="es-ES_tradnl"/>
        </w:rPr>
        <w:t>Tabla N°5</w:t>
      </w:r>
    </w:p>
    <w:p w14:paraId="7A417EE5" w14:textId="77777777" w:rsidR="00F16DE8" w:rsidRDefault="00F16DE8" w:rsidP="00F16DE8">
      <w:pPr>
        <w:jc w:val="both"/>
        <w:rPr>
          <w:sz w:val="20"/>
          <w:szCs w:val="20"/>
          <w:lang w:val="es-ES_tradnl"/>
        </w:rPr>
      </w:pPr>
    </w:p>
    <w:p w14:paraId="12FDD3F0" w14:textId="77777777" w:rsidR="0032164B" w:rsidRDefault="0032164B" w:rsidP="00F16DE8">
      <w:pPr>
        <w:jc w:val="both"/>
        <w:rPr>
          <w:sz w:val="20"/>
          <w:szCs w:val="20"/>
          <w:lang w:val="es-ES_tradnl"/>
        </w:rPr>
      </w:pPr>
    </w:p>
    <w:p w14:paraId="244EFA7C" w14:textId="71F964C2" w:rsidR="002D5D32" w:rsidRDefault="0032164B" w:rsidP="00F16DE8">
      <w:pPr>
        <w:jc w:val="both"/>
        <w:rPr>
          <w:sz w:val="20"/>
          <w:szCs w:val="20"/>
          <w:lang w:val="es-ES_tradnl"/>
        </w:rPr>
      </w:pPr>
      <w:r>
        <w:rPr>
          <w:sz w:val="20"/>
          <w:szCs w:val="20"/>
          <w:lang w:val="es-ES_tradnl"/>
        </w:rPr>
        <w:t xml:space="preserve">Es así, como el Instituto atiende </w:t>
      </w:r>
      <w:proofErr w:type="spellStart"/>
      <w:r>
        <w:rPr>
          <w:sz w:val="20"/>
          <w:szCs w:val="20"/>
          <w:lang w:val="es-ES_tradnl"/>
        </w:rPr>
        <w:t>aprox</w:t>
      </w:r>
      <w:proofErr w:type="spellEnd"/>
      <w:r>
        <w:rPr>
          <w:sz w:val="20"/>
          <w:szCs w:val="20"/>
          <w:lang w:val="es-ES_tradnl"/>
        </w:rPr>
        <w:t xml:space="preserve"> 4.800 con 102 funcionarios académicos y administrativos.</w:t>
      </w:r>
    </w:p>
    <w:p w14:paraId="3315D85C" w14:textId="3BED3263" w:rsidR="006313CC" w:rsidRDefault="006313CC" w:rsidP="00F16DE8">
      <w:pPr>
        <w:jc w:val="both"/>
        <w:rPr>
          <w:sz w:val="20"/>
          <w:szCs w:val="20"/>
          <w:lang w:val="es-ES_tradnl"/>
        </w:rPr>
      </w:pPr>
    </w:p>
    <w:p w14:paraId="7306FE3A" w14:textId="77777777" w:rsidR="002D5D32" w:rsidRDefault="002D5D32" w:rsidP="00F16DE8">
      <w:pPr>
        <w:jc w:val="both"/>
        <w:rPr>
          <w:sz w:val="20"/>
          <w:szCs w:val="20"/>
          <w:lang w:val="es-ES_tradnl"/>
        </w:rPr>
      </w:pPr>
    </w:p>
    <w:p w14:paraId="4ED0F51A" w14:textId="6ED55A21" w:rsidR="00BF3183" w:rsidRPr="00BF3183" w:rsidRDefault="00BF3183" w:rsidP="00F16DE8">
      <w:pPr>
        <w:jc w:val="both"/>
        <w:rPr>
          <w:b/>
          <w:bCs/>
          <w:sz w:val="20"/>
          <w:szCs w:val="20"/>
          <w:u w:val="single"/>
          <w:lang w:val="es-ES_tradnl"/>
        </w:rPr>
      </w:pPr>
      <w:r w:rsidRPr="00BF3183">
        <w:rPr>
          <w:b/>
          <w:bCs/>
          <w:sz w:val="20"/>
          <w:szCs w:val="20"/>
          <w:u w:val="single"/>
          <w:lang w:val="es-ES_tradnl"/>
        </w:rPr>
        <w:t xml:space="preserve">Conclusiones </w:t>
      </w:r>
    </w:p>
    <w:p w14:paraId="60868A86" w14:textId="77777777" w:rsidR="00BF3183" w:rsidRDefault="00BF3183" w:rsidP="00F16DE8">
      <w:pPr>
        <w:jc w:val="both"/>
        <w:rPr>
          <w:sz w:val="20"/>
          <w:szCs w:val="20"/>
          <w:lang w:val="es-ES_tradnl"/>
        </w:rPr>
      </w:pPr>
    </w:p>
    <w:p w14:paraId="4E2A7E19" w14:textId="58D85E15" w:rsidR="002D5D32" w:rsidRDefault="002D5D32" w:rsidP="002D5D32">
      <w:pPr>
        <w:jc w:val="both"/>
        <w:rPr>
          <w:sz w:val="20"/>
          <w:szCs w:val="20"/>
          <w:lang w:val="es-ES_tradnl"/>
        </w:rPr>
      </w:pPr>
      <w:r>
        <w:rPr>
          <w:sz w:val="20"/>
          <w:szCs w:val="20"/>
          <w:lang w:val="es-ES_tradnl"/>
        </w:rPr>
        <w:t xml:space="preserve">La creación de las escuelas permitirá </w:t>
      </w:r>
      <w:r w:rsidR="00F16DE8">
        <w:rPr>
          <w:sz w:val="20"/>
          <w:szCs w:val="20"/>
          <w:lang w:val="es-ES_tradnl"/>
        </w:rPr>
        <w:t xml:space="preserve">fortalecer la gestión institucional, la docencia e instalación de mecanismos de aseguramiento de la calidad en las carreras, </w:t>
      </w:r>
      <w:r>
        <w:rPr>
          <w:sz w:val="20"/>
          <w:szCs w:val="20"/>
          <w:lang w:val="es-ES_tradnl"/>
        </w:rPr>
        <w:t>entre otros aspectos de la gestión relacionados a mejorar indicadores académicos y posicionamiento de las distintas áreas disciplinares y la articulación de las carreras con las distintas facultades afines, entre otros aspectos de la gestión de acuerdo a lo definido en el Decreto de Rectoría N°167/2024 y dar cuenta a los propósitos allí señalados.</w:t>
      </w:r>
      <w:r w:rsidR="0032164B">
        <w:rPr>
          <w:sz w:val="20"/>
          <w:szCs w:val="20"/>
          <w:lang w:val="es-ES_tradnl"/>
        </w:rPr>
        <w:t xml:space="preserve"> Sin embargo, las nuevas funciones directivas que ya fueron </w:t>
      </w:r>
      <w:proofErr w:type="gramStart"/>
      <w:r w:rsidR="0032164B">
        <w:rPr>
          <w:sz w:val="20"/>
          <w:szCs w:val="20"/>
          <w:lang w:val="es-ES_tradnl"/>
        </w:rPr>
        <w:t>cubiertas,</w:t>
      </w:r>
      <w:proofErr w:type="gramEnd"/>
      <w:r w:rsidR="0032164B">
        <w:rPr>
          <w:sz w:val="20"/>
          <w:szCs w:val="20"/>
          <w:lang w:val="es-ES_tradnl"/>
        </w:rPr>
        <w:t xml:space="preserve"> deberán reemplazarse con nuevos académicos en aquellas escuelas-carreras que lo requieran una vez terminado el proceso de matrículas 2025 para el IT.</w:t>
      </w:r>
    </w:p>
    <w:p w14:paraId="4F345781" w14:textId="77777777" w:rsidR="002D5D32" w:rsidRDefault="002D5D32" w:rsidP="002D5D32">
      <w:pPr>
        <w:jc w:val="both"/>
        <w:rPr>
          <w:sz w:val="20"/>
          <w:szCs w:val="20"/>
          <w:lang w:val="es-ES_tradnl"/>
        </w:rPr>
      </w:pPr>
    </w:p>
    <w:p w14:paraId="66F07AAA" w14:textId="260DC236" w:rsidR="002D5D32" w:rsidRDefault="002D5D32" w:rsidP="00F16DE8">
      <w:pPr>
        <w:jc w:val="both"/>
        <w:rPr>
          <w:sz w:val="20"/>
          <w:szCs w:val="20"/>
          <w:lang w:val="es-ES_tradnl"/>
        </w:rPr>
      </w:pPr>
    </w:p>
    <w:p w14:paraId="2E66FE04" w14:textId="7D22E6DA" w:rsidR="00F16DE8" w:rsidRDefault="002D5D32" w:rsidP="00F16DE8">
      <w:pPr>
        <w:jc w:val="both"/>
        <w:rPr>
          <w:sz w:val="20"/>
          <w:szCs w:val="20"/>
          <w:lang w:val="es-ES_tradnl"/>
        </w:rPr>
      </w:pPr>
      <w:r>
        <w:rPr>
          <w:sz w:val="20"/>
          <w:szCs w:val="20"/>
          <w:lang w:val="es-ES_tradnl"/>
        </w:rPr>
        <w:t>Al a</w:t>
      </w:r>
      <w:r w:rsidR="0032164B">
        <w:rPr>
          <w:sz w:val="20"/>
          <w:szCs w:val="20"/>
          <w:lang w:val="es-ES_tradnl"/>
        </w:rPr>
        <w:t>nalizar</w:t>
      </w:r>
      <w:r>
        <w:rPr>
          <w:sz w:val="20"/>
          <w:szCs w:val="20"/>
          <w:lang w:val="es-ES_tradnl"/>
        </w:rPr>
        <w:t xml:space="preserve"> por escuelas-carreras y sedes, la cantidad de académicos JCE es adecuada, sin </w:t>
      </w:r>
      <w:r w:rsidR="006313CC">
        <w:rPr>
          <w:sz w:val="20"/>
          <w:szCs w:val="20"/>
          <w:lang w:val="es-ES_tradnl"/>
        </w:rPr>
        <w:t>embargo,</w:t>
      </w:r>
      <w:r>
        <w:rPr>
          <w:sz w:val="20"/>
          <w:szCs w:val="20"/>
          <w:lang w:val="es-ES_tradnl"/>
        </w:rPr>
        <w:t xml:space="preserve"> al proyectar los académicos JC con dedicación exclusiva a la gestión académica y la docencia</w:t>
      </w:r>
      <w:r w:rsidR="0032164B">
        <w:rPr>
          <w:sz w:val="20"/>
          <w:szCs w:val="20"/>
          <w:lang w:val="es-ES_tradnl"/>
        </w:rPr>
        <w:t xml:space="preserve"> </w:t>
      </w:r>
      <w:r>
        <w:rPr>
          <w:sz w:val="20"/>
          <w:szCs w:val="20"/>
          <w:lang w:val="es-ES_tradnl"/>
        </w:rPr>
        <w:t xml:space="preserve">(jefes de carrera y académicos de planta), ésta se </w:t>
      </w:r>
      <w:r w:rsidR="0032164B">
        <w:rPr>
          <w:sz w:val="20"/>
          <w:szCs w:val="20"/>
          <w:lang w:val="es-ES_tradnl"/>
        </w:rPr>
        <w:t>vio</w:t>
      </w:r>
      <w:r>
        <w:rPr>
          <w:sz w:val="20"/>
          <w:szCs w:val="20"/>
          <w:lang w:val="es-ES_tradnl"/>
        </w:rPr>
        <w:t xml:space="preserve"> disminuida debido a que los nuevos cargos fueron cubiertos por los mismos académicos. Es por ello, que proyectar el indicador permite visualizar cómo crecer, progresivamente, considerando el número de estudiantes, la creación de nuevas carreras y la retención de cursos superiores este año 2025. Sin embargo</w:t>
      </w:r>
      <w:r w:rsidR="0032164B">
        <w:rPr>
          <w:sz w:val="20"/>
          <w:szCs w:val="20"/>
          <w:lang w:val="es-ES_tradnl"/>
        </w:rPr>
        <w:t>, la Tabla N°5</w:t>
      </w:r>
      <w:r>
        <w:rPr>
          <w:sz w:val="20"/>
          <w:szCs w:val="20"/>
          <w:lang w:val="es-ES_tradnl"/>
        </w:rPr>
        <w:t xml:space="preserve"> </w:t>
      </w:r>
      <w:r w:rsidR="0032164B">
        <w:rPr>
          <w:sz w:val="20"/>
          <w:szCs w:val="20"/>
          <w:lang w:val="es-ES_tradnl"/>
        </w:rPr>
        <w:t xml:space="preserve">muestra </w:t>
      </w:r>
      <w:r>
        <w:rPr>
          <w:sz w:val="20"/>
          <w:szCs w:val="20"/>
          <w:lang w:val="es-ES_tradnl"/>
        </w:rPr>
        <w:t xml:space="preserve">las </w:t>
      </w:r>
      <w:r w:rsidR="0032164B">
        <w:rPr>
          <w:sz w:val="20"/>
          <w:szCs w:val="20"/>
          <w:lang w:val="es-ES_tradnl"/>
        </w:rPr>
        <w:t>necesidades en</w:t>
      </w:r>
      <w:r>
        <w:rPr>
          <w:sz w:val="20"/>
          <w:szCs w:val="20"/>
          <w:lang w:val="es-ES_tradnl"/>
        </w:rPr>
        <w:t xml:space="preserve"> la Escuela de Salud y Educación y de Ingeniería Procesos Industriales y Medio Ambiente en Chillán y Talcahuano, así también la escuela de Administración y Servicios en Talcahuano, para este año 2025</w:t>
      </w:r>
      <w:r w:rsidR="0032164B">
        <w:rPr>
          <w:sz w:val="20"/>
          <w:szCs w:val="20"/>
          <w:lang w:val="es-ES_tradnl"/>
        </w:rPr>
        <w:t xml:space="preserve"> para responder al</w:t>
      </w:r>
      <w:r w:rsidR="00B4216D">
        <w:rPr>
          <w:sz w:val="20"/>
          <w:szCs w:val="20"/>
          <w:lang w:val="es-ES_tradnl"/>
        </w:rPr>
        <w:t xml:space="preserve"> Plan</w:t>
      </w:r>
      <w:r w:rsidR="00F16DE8">
        <w:rPr>
          <w:sz w:val="20"/>
          <w:szCs w:val="20"/>
          <w:lang w:val="es-ES_tradnl"/>
        </w:rPr>
        <w:t xml:space="preserve"> de Acción </w:t>
      </w:r>
      <w:r w:rsidR="00B4216D">
        <w:rPr>
          <w:sz w:val="20"/>
          <w:szCs w:val="20"/>
          <w:lang w:val="es-ES_tradnl"/>
        </w:rPr>
        <w:t xml:space="preserve">2024-2025 </w:t>
      </w:r>
      <w:r>
        <w:rPr>
          <w:sz w:val="20"/>
          <w:szCs w:val="20"/>
          <w:lang w:val="es-ES_tradnl"/>
        </w:rPr>
        <w:t>del IT</w:t>
      </w:r>
      <w:r w:rsidR="0032164B">
        <w:rPr>
          <w:sz w:val="20"/>
          <w:szCs w:val="20"/>
          <w:lang w:val="es-ES_tradnl"/>
        </w:rPr>
        <w:t xml:space="preserve"> que resume los principales desafíos del IT en el corto y mediano plazo.</w:t>
      </w:r>
    </w:p>
    <w:p w14:paraId="4E3777DA" w14:textId="77777777" w:rsidR="002D5D32" w:rsidRDefault="002D5D32" w:rsidP="00F16DE8">
      <w:pPr>
        <w:jc w:val="both"/>
        <w:rPr>
          <w:sz w:val="20"/>
          <w:szCs w:val="20"/>
          <w:lang w:val="es-ES_tradnl"/>
        </w:rPr>
      </w:pPr>
    </w:p>
    <w:p w14:paraId="5EBA41B4" w14:textId="7BEAA6E8" w:rsidR="006313CC" w:rsidRDefault="006313CC" w:rsidP="00F16DE8">
      <w:pPr>
        <w:jc w:val="both"/>
        <w:rPr>
          <w:sz w:val="20"/>
          <w:szCs w:val="20"/>
          <w:lang w:val="es-ES_tradnl"/>
        </w:rPr>
      </w:pPr>
      <w:r>
        <w:rPr>
          <w:sz w:val="20"/>
          <w:szCs w:val="20"/>
          <w:lang w:val="es-ES_tradnl"/>
        </w:rPr>
        <w:t xml:space="preserve">Finalmente, es importante señalar que los nuevos estatutos redefinieron funciones directivas del subdirector IT, antes llamado </w:t>
      </w:r>
      <w:proofErr w:type="gramStart"/>
      <w:r>
        <w:rPr>
          <w:sz w:val="20"/>
          <w:szCs w:val="20"/>
          <w:lang w:val="es-ES_tradnl"/>
        </w:rPr>
        <w:t>Secretario</w:t>
      </w:r>
      <w:proofErr w:type="gramEnd"/>
      <w:r>
        <w:rPr>
          <w:sz w:val="20"/>
          <w:szCs w:val="20"/>
          <w:lang w:val="es-ES_tradnl"/>
        </w:rPr>
        <w:t xml:space="preserve"> Docente, así como de los </w:t>
      </w:r>
      <w:proofErr w:type="gramStart"/>
      <w:r>
        <w:rPr>
          <w:sz w:val="20"/>
          <w:szCs w:val="20"/>
          <w:lang w:val="es-ES_tradnl"/>
        </w:rPr>
        <w:t>Subdirectores</w:t>
      </w:r>
      <w:proofErr w:type="gramEnd"/>
      <w:r>
        <w:rPr>
          <w:sz w:val="20"/>
          <w:szCs w:val="20"/>
          <w:lang w:val="es-ES_tradnl"/>
        </w:rPr>
        <w:t xml:space="preserve"> de Sede, cuya función era similar pero acotada a una sede; esto significó una pérdida en las funciones del ámbito académico en la estructura central que garanticen equivalencia y transferencia entre las escuelas para que así sean desplegadas a cada carrera-sede. No obstante, en este ajuste de estatutos se relevan otras funciones de vinculación con el medio e innovación que se alinean a los nuevos criterios de acreditación, lo que permitirá fortalecer estos ámbitos en el IT, sin embargo se requiere contar al menos con un Coordinador Académico, dependiente de la Dirección central para implementar las directrices académicas, principalmente relacionadas a la gestión docente.</w:t>
      </w:r>
    </w:p>
    <w:p w14:paraId="4281C3E5" w14:textId="77777777" w:rsidR="006313CC" w:rsidRDefault="006313CC" w:rsidP="00F16DE8">
      <w:pPr>
        <w:jc w:val="both"/>
        <w:rPr>
          <w:sz w:val="20"/>
          <w:szCs w:val="20"/>
          <w:lang w:val="es-ES_tradnl"/>
        </w:rPr>
      </w:pPr>
    </w:p>
    <w:p w14:paraId="6412D00A" w14:textId="77777777" w:rsidR="002D5D32" w:rsidRDefault="002D5D32" w:rsidP="00F16DE8">
      <w:pPr>
        <w:jc w:val="both"/>
        <w:rPr>
          <w:sz w:val="20"/>
          <w:szCs w:val="20"/>
          <w:lang w:val="es-ES_tradnl"/>
        </w:rPr>
      </w:pPr>
    </w:p>
    <w:p w14:paraId="402BBDCA" w14:textId="77777777" w:rsidR="00F16DE8" w:rsidRDefault="00F16DE8" w:rsidP="00F16DE8">
      <w:pPr>
        <w:jc w:val="both"/>
        <w:rPr>
          <w:sz w:val="20"/>
          <w:szCs w:val="20"/>
          <w:lang w:val="es-ES_tradnl"/>
        </w:rPr>
      </w:pPr>
    </w:p>
    <w:p w14:paraId="29D6FAC2" w14:textId="691CBC28" w:rsidR="00F16DE8" w:rsidRDefault="00F16DE8" w:rsidP="00F16DE8">
      <w:pPr>
        <w:jc w:val="both"/>
        <w:rPr>
          <w:lang w:val="es-ES_tradnl"/>
        </w:rPr>
      </w:pPr>
    </w:p>
    <w:p w14:paraId="66F1BD00" w14:textId="77777777" w:rsidR="002D5D32" w:rsidRDefault="002D5D32" w:rsidP="00F16DE8">
      <w:pPr>
        <w:jc w:val="both"/>
        <w:rPr>
          <w:lang w:val="es-ES_tradnl"/>
        </w:rPr>
      </w:pPr>
    </w:p>
    <w:p w14:paraId="28D6E796" w14:textId="77777777" w:rsidR="002D5D32" w:rsidRDefault="002D5D32" w:rsidP="00F16DE8">
      <w:pPr>
        <w:jc w:val="both"/>
        <w:rPr>
          <w:lang w:val="es-ES_tradnl"/>
        </w:rPr>
      </w:pPr>
    </w:p>
    <w:p w14:paraId="45350E01" w14:textId="77777777" w:rsidR="002D5D32" w:rsidRPr="00A55827" w:rsidRDefault="002D5D32" w:rsidP="00F16DE8">
      <w:pPr>
        <w:jc w:val="both"/>
        <w:rPr>
          <w:lang w:val="es-ES_tradnl"/>
        </w:rPr>
      </w:pPr>
    </w:p>
    <w:sectPr w:rsidR="002D5D32" w:rsidRPr="00A55827">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497C" w14:textId="77777777" w:rsidR="009F4B87" w:rsidRDefault="009F4B87" w:rsidP="002D5D32">
      <w:r>
        <w:separator/>
      </w:r>
    </w:p>
  </w:endnote>
  <w:endnote w:type="continuationSeparator" w:id="0">
    <w:p w14:paraId="6D425203" w14:textId="77777777" w:rsidR="009F4B87" w:rsidRDefault="009F4B87" w:rsidP="002D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3D9A" w14:textId="77777777" w:rsidR="002D5D32" w:rsidRDefault="002D5D32">
    <w:pPr>
      <w:pStyle w:val="Piedepgina"/>
    </w:pPr>
  </w:p>
  <w:p w14:paraId="1E74393D" w14:textId="77777777" w:rsidR="002D5D32" w:rsidRDefault="002D5D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DAF2" w14:textId="77777777" w:rsidR="009F4B87" w:rsidRDefault="009F4B87" w:rsidP="002D5D32">
      <w:r>
        <w:separator/>
      </w:r>
    </w:p>
  </w:footnote>
  <w:footnote w:type="continuationSeparator" w:id="0">
    <w:p w14:paraId="0C2B220C" w14:textId="77777777" w:rsidR="009F4B87" w:rsidRDefault="009F4B87" w:rsidP="002D5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56CC1"/>
    <w:multiLevelType w:val="hybridMultilevel"/>
    <w:tmpl w:val="E7DEAFA8"/>
    <w:lvl w:ilvl="0" w:tplc="3B1ABC18">
      <w:start w:val="1"/>
      <w:numFmt w:val="bullet"/>
      <w:lvlText w:val="-"/>
      <w:lvlJc w:val="left"/>
      <w:pPr>
        <w:tabs>
          <w:tab w:val="num" w:pos="720"/>
        </w:tabs>
        <w:ind w:left="720" w:hanging="360"/>
      </w:pPr>
      <w:rPr>
        <w:rFonts w:ascii="Times New Roman" w:hAnsi="Times New Roman" w:hint="default"/>
      </w:rPr>
    </w:lvl>
    <w:lvl w:ilvl="1" w:tplc="871C9CA8" w:tentative="1">
      <w:start w:val="1"/>
      <w:numFmt w:val="bullet"/>
      <w:lvlText w:val="-"/>
      <w:lvlJc w:val="left"/>
      <w:pPr>
        <w:tabs>
          <w:tab w:val="num" w:pos="1440"/>
        </w:tabs>
        <w:ind w:left="1440" w:hanging="360"/>
      </w:pPr>
      <w:rPr>
        <w:rFonts w:ascii="Times New Roman" w:hAnsi="Times New Roman" w:hint="default"/>
      </w:rPr>
    </w:lvl>
    <w:lvl w:ilvl="2" w:tplc="7B5CF7DC" w:tentative="1">
      <w:start w:val="1"/>
      <w:numFmt w:val="bullet"/>
      <w:lvlText w:val="-"/>
      <w:lvlJc w:val="left"/>
      <w:pPr>
        <w:tabs>
          <w:tab w:val="num" w:pos="2160"/>
        </w:tabs>
        <w:ind w:left="2160" w:hanging="360"/>
      </w:pPr>
      <w:rPr>
        <w:rFonts w:ascii="Times New Roman" w:hAnsi="Times New Roman" w:hint="default"/>
      </w:rPr>
    </w:lvl>
    <w:lvl w:ilvl="3" w:tplc="48EAA1F2" w:tentative="1">
      <w:start w:val="1"/>
      <w:numFmt w:val="bullet"/>
      <w:lvlText w:val="-"/>
      <w:lvlJc w:val="left"/>
      <w:pPr>
        <w:tabs>
          <w:tab w:val="num" w:pos="2880"/>
        </w:tabs>
        <w:ind w:left="2880" w:hanging="360"/>
      </w:pPr>
      <w:rPr>
        <w:rFonts w:ascii="Times New Roman" w:hAnsi="Times New Roman" w:hint="default"/>
      </w:rPr>
    </w:lvl>
    <w:lvl w:ilvl="4" w:tplc="387430A0" w:tentative="1">
      <w:start w:val="1"/>
      <w:numFmt w:val="bullet"/>
      <w:lvlText w:val="-"/>
      <w:lvlJc w:val="left"/>
      <w:pPr>
        <w:tabs>
          <w:tab w:val="num" w:pos="3600"/>
        </w:tabs>
        <w:ind w:left="3600" w:hanging="360"/>
      </w:pPr>
      <w:rPr>
        <w:rFonts w:ascii="Times New Roman" w:hAnsi="Times New Roman" w:hint="default"/>
      </w:rPr>
    </w:lvl>
    <w:lvl w:ilvl="5" w:tplc="CE7612D6" w:tentative="1">
      <w:start w:val="1"/>
      <w:numFmt w:val="bullet"/>
      <w:lvlText w:val="-"/>
      <w:lvlJc w:val="left"/>
      <w:pPr>
        <w:tabs>
          <w:tab w:val="num" w:pos="4320"/>
        </w:tabs>
        <w:ind w:left="4320" w:hanging="360"/>
      </w:pPr>
      <w:rPr>
        <w:rFonts w:ascii="Times New Roman" w:hAnsi="Times New Roman" w:hint="default"/>
      </w:rPr>
    </w:lvl>
    <w:lvl w:ilvl="6" w:tplc="EA7636BA" w:tentative="1">
      <w:start w:val="1"/>
      <w:numFmt w:val="bullet"/>
      <w:lvlText w:val="-"/>
      <w:lvlJc w:val="left"/>
      <w:pPr>
        <w:tabs>
          <w:tab w:val="num" w:pos="5040"/>
        </w:tabs>
        <w:ind w:left="5040" w:hanging="360"/>
      </w:pPr>
      <w:rPr>
        <w:rFonts w:ascii="Times New Roman" w:hAnsi="Times New Roman" w:hint="default"/>
      </w:rPr>
    </w:lvl>
    <w:lvl w:ilvl="7" w:tplc="06B6AEBC" w:tentative="1">
      <w:start w:val="1"/>
      <w:numFmt w:val="bullet"/>
      <w:lvlText w:val="-"/>
      <w:lvlJc w:val="left"/>
      <w:pPr>
        <w:tabs>
          <w:tab w:val="num" w:pos="5760"/>
        </w:tabs>
        <w:ind w:left="5760" w:hanging="360"/>
      </w:pPr>
      <w:rPr>
        <w:rFonts w:ascii="Times New Roman" w:hAnsi="Times New Roman" w:hint="default"/>
      </w:rPr>
    </w:lvl>
    <w:lvl w:ilvl="8" w:tplc="0456C1D8" w:tentative="1">
      <w:start w:val="1"/>
      <w:numFmt w:val="bullet"/>
      <w:lvlText w:val="-"/>
      <w:lvlJc w:val="left"/>
      <w:pPr>
        <w:tabs>
          <w:tab w:val="num" w:pos="6480"/>
        </w:tabs>
        <w:ind w:left="6480" w:hanging="360"/>
      </w:pPr>
      <w:rPr>
        <w:rFonts w:ascii="Times New Roman" w:hAnsi="Times New Roman" w:hint="default"/>
      </w:rPr>
    </w:lvl>
  </w:abstractNum>
  <w:num w:numId="1" w16cid:durableId="87951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27"/>
    <w:rsid w:val="000859BE"/>
    <w:rsid w:val="002D5D32"/>
    <w:rsid w:val="0032164B"/>
    <w:rsid w:val="006313CC"/>
    <w:rsid w:val="006A368A"/>
    <w:rsid w:val="00751715"/>
    <w:rsid w:val="008264B5"/>
    <w:rsid w:val="009F4B87"/>
    <w:rsid w:val="00A55827"/>
    <w:rsid w:val="00B4216D"/>
    <w:rsid w:val="00BF3183"/>
    <w:rsid w:val="00C1596A"/>
    <w:rsid w:val="00C36164"/>
    <w:rsid w:val="00F16D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BB86"/>
  <w15:chartTrackingRefBased/>
  <w15:docId w15:val="{6CE0F260-F657-3145-A7E9-3CD94C24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6DE8"/>
    <w:pPr>
      <w:spacing w:before="100" w:beforeAutospacing="1" w:after="100" w:afterAutospacing="1"/>
    </w:pPr>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2D5D32"/>
    <w:pPr>
      <w:tabs>
        <w:tab w:val="center" w:pos="4419"/>
        <w:tab w:val="right" w:pos="8838"/>
      </w:tabs>
    </w:pPr>
  </w:style>
  <w:style w:type="character" w:customStyle="1" w:styleId="EncabezadoCar">
    <w:name w:val="Encabezado Car"/>
    <w:basedOn w:val="Fuentedeprrafopredeter"/>
    <w:link w:val="Encabezado"/>
    <w:uiPriority w:val="99"/>
    <w:rsid w:val="002D5D32"/>
  </w:style>
  <w:style w:type="paragraph" w:styleId="Piedepgina">
    <w:name w:val="footer"/>
    <w:basedOn w:val="Normal"/>
    <w:link w:val="PiedepginaCar"/>
    <w:uiPriority w:val="99"/>
    <w:unhideWhenUsed/>
    <w:rsid w:val="002D5D32"/>
    <w:pPr>
      <w:tabs>
        <w:tab w:val="center" w:pos="4419"/>
        <w:tab w:val="right" w:pos="8838"/>
      </w:tabs>
    </w:pPr>
  </w:style>
  <w:style w:type="character" w:customStyle="1" w:styleId="PiedepginaCar">
    <w:name w:val="Pie de página Car"/>
    <w:basedOn w:val="Fuentedeprrafopredeter"/>
    <w:link w:val="Piedepgina"/>
    <w:uiPriority w:val="99"/>
    <w:rsid w:val="002D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38691">
      <w:bodyDiv w:val="1"/>
      <w:marLeft w:val="0"/>
      <w:marRight w:val="0"/>
      <w:marTop w:val="0"/>
      <w:marBottom w:val="0"/>
      <w:divBdr>
        <w:top w:val="none" w:sz="0" w:space="0" w:color="auto"/>
        <w:left w:val="none" w:sz="0" w:space="0" w:color="auto"/>
        <w:bottom w:val="none" w:sz="0" w:space="0" w:color="auto"/>
        <w:right w:val="none" w:sz="0" w:space="0" w:color="auto"/>
      </w:divBdr>
    </w:div>
    <w:div w:id="351419271">
      <w:bodyDiv w:val="1"/>
      <w:marLeft w:val="0"/>
      <w:marRight w:val="0"/>
      <w:marTop w:val="0"/>
      <w:marBottom w:val="0"/>
      <w:divBdr>
        <w:top w:val="none" w:sz="0" w:space="0" w:color="auto"/>
        <w:left w:val="none" w:sz="0" w:space="0" w:color="auto"/>
        <w:bottom w:val="none" w:sz="0" w:space="0" w:color="auto"/>
        <w:right w:val="none" w:sz="0" w:space="0" w:color="auto"/>
      </w:divBdr>
    </w:div>
    <w:div w:id="680204331">
      <w:bodyDiv w:val="1"/>
      <w:marLeft w:val="0"/>
      <w:marRight w:val="0"/>
      <w:marTop w:val="0"/>
      <w:marBottom w:val="0"/>
      <w:divBdr>
        <w:top w:val="none" w:sz="0" w:space="0" w:color="auto"/>
        <w:left w:val="none" w:sz="0" w:space="0" w:color="auto"/>
        <w:bottom w:val="none" w:sz="0" w:space="0" w:color="auto"/>
        <w:right w:val="none" w:sz="0" w:space="0" w:color="auto"/>
      </w:divBdr>
    </w:div>
    <w:div w:id="1289429718">
      <w:bodyDiv w:val="1"/>
      <w:marLeft w:val="0"/>
      <w:marRight w:val="0"/>
      <w:marTop w:val="0"/>
      <w:marBottom w:val="0"/>
      <w:divBdr>
        <w:top w:val="none" w:sz="0" w:space="0" w:color="auto"/>
        <w:left w:val="none" w:sz="0" w:space="0" w:color="auto"/>
        <w:bottom w:val="none" w:sz="0" w:space="0" w:color="auto"/>
        <w:right w:val="none" w:sz="0" w:space="0" w:color="auto"/>
      </w:divBdr>
      <w:divsChild>
        <w:div w:id="1703020366">
          <w:marLeft w:val="446"/>
          <w:marRight w:val="0"/>
          <w:marTop w:val="0"/>
          <w:marBottom w:val="0"/>
          <w:divBdr>
            <w:top w:val="none" w:sz="0" w:space="0" w:color="auto"/>
            <w:left w:val="none" w:sz="0" w:space="0" w:color="auto"/>
            <w:bottom w:val="none" w:sz="0" w:space="0" w:color="auto"/>
            <w:right w:val="none" w:sz="0" w:space="0" w:color="auto"/>
          </w:divBdr>
        </w:div>
      </w:divsChild>
    </w:div>
    <w:div w:id="1505441073">
      <w:bodyDiv w:val="1"/>
      <w:marLeft w:val="0"/>
      <w:marRight w:val="0"/>
      <w:marTop w:val="0"/>
      <w:marBottom w:val="0"/>
      <w:divBdr>
        <w:top w:val="none" w:sz="0" w:space="0" w:color="auto"/>
        <w:left w:val="none" w:sz="0" w:space="0" w:color="auto"/>
        <w:bottom w:val="none" w:sz="0" w:space="0" w:color="auto"/>
        <w:right w:val="none" w:sz="0" w:space="0" w:color="auto"/>
      </w:divBdr>
    </w:div>
    <w:div w:id="1872721057">
      <w:bodyDiv w:val="1"/>
      <w:marLeft w:val="0"/>
      <w:marRight w:val="0"/>
      <w:marTop w:val="0"/>
      <w:marBottom w:val="0"/>
      <w:divBdr>
        <w:top w:val="none" w:sz="0" w:space="0" w:color="auto"/>
        <w:left w:val="none" w:sz="0" w:space="0" w:color="auto"/>
        <w:bottom w:val="none" w:sz="0" w:space="0" w:color="auto"/>
        <w:right w:val="none" w:sz="0" w:space="0" w:color="auto"/>
      </w:divBdr>
    </w:div>
    <w:div w:id="1950772675">
      <w:bodyDiv w:val="1"/>
      <w:marLeft w:val="0"/>
      <w:marRight w:val="0"/>
      <w:marTop w:val="0"/>
      <w:marBottom w:val="0"/>
      <w:divBdr>
        <w:top w:val="none" w:sz="0" w:space="0" w:color="auto"/>
        <w:left w:val="none" w:sz="0" w:space="0" w:color="auto"/>
        <w:bottom w:val="none" w:sz="0" w:space="0" w:color="auto"/>
        <w:right w:val="none" w:sz="0" w:space="0" w:color="auto"/>
      </w:divBdr>
    </w:div>
    <w:div w:id="20301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DA30-3D1C-7249-8957-D6212666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990</Words>
  <Characters>5405</Characters>
  <Application>Microsoft Office Word</Application>
  <DocSecurity>0</DocSecurity>
  <Lines>116</Lines>
  <Paragraphs>24</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cp:keywords/>
  <dc:description/>
  <cp:lastModifiedBy>Humberto Enrique Vergara Muñoz</cp:lastModifiedBy>
  <cp:revision>3</cp:revision>
  <dcterms:created xsi:type="dcterms:W3CDTF">2025-03-03T14:34:00Z</dcterms:created>
  <dcterms:modified xsi:type="dcterms:W3CDTF">2026-02-04T15:17:00Z</dcterms:modified>
</cp:coreProperties>
</file>